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563" w:rsidRDefault="002E3563" w:rsidP="00B646B3">
      <w:pPr>
        <w:spacing w:after="0"/>
        <w:rPr>
          <w:rFonts w:cs="Times New Roman"/>
          <w:b/>
        </w:rPr>
      </w:pPr>
    </w:p>
    <w:p w:rsidR="00812455" w:rsidRDefault="00812455" w:rsidP="00C34193">
      <w:pPr>
        <w:spacing w:after="0"/>
        <w:jc w:val="center"/>
        <w:rPr>
          <w:rFonts w:cs="Times New Roman"/>
          <w:b/>
        </w:rPr>
      </w:pPr>
    </w:p>
    <w:p w:rsidR="006131AC" w:rsidRDefault="00704246" w:rsidP="00704246">
      <w:pPr>
        <w:spacing w:after="0"/>
        <w:rPr>
          <w:rFonts w:cs="Times New Roman"/>
          <w:b/>
        </w:rPr>
      </w:pPr>
      <w:r>
        <w:rPr>
          <w:rFonts w:cs="Times New Roman"/>
          <w:b/>
        </w:rPr>
        <w:t>Nieruchomość  jest nieruchomością rolną w rozumieniu przepisów  ustawy z dnia 11 kwietnia 2003 r. o kształtowaniu ustroju rolnego (Dz.U. 2003 Nr 64 poz. 592, j.t. z dnia 14 listopada 2016 r. Dz.U. 2016 poz. 2052).</w:t>
      </w:r>
    </w:p>
    <w:p w:rsidR="00F002C5" w:rsidRDefault="00F002C5" w:rsidP="00704246">
      <w:pPr>
        <w:spacing w:after="0"/>
        <w:rPr>
          <w:rFonts w:cs="Times New Roman"/>
          <w:b/>
        </w:rPr>
      </w:pPr>
    </w:p>
    <w:p w:rsidR="00F002C5" w:rsidRDefault="000734A9" w:rsidP="00704246">
      <w:pPr>
        <w:spacing w:after="0"/>
        <w:rPr>
          <w:rFonts w:cs="Times New Roman"/>
        </w:rPr>
      </w:pPr>
      <w:r>
        <w:rPr>
          <w:rFonts w:cs="Times New Roman"/>
        </w:rPr>
        <w:t>W związku z powyższym</w:t>
      </w:r>
      <w:r w:rsidR="00F002C5">
        <w:rPr>
          <w:rFonts w:cs="Times New Roman"/>
        </w:rPr>
        <w:t>:</w:t>
      </w:r>
    </w:p>
    <w:p w:rsidR="00C662FD" w:rsidRDefault="000734A9" w:rsidP="002A26C5">
      <w:pPr>
        <w:spacing w:after="0"/>
        <w:rPr>
          <w:b/>
          <w:bCs/>
        </w:rPr>
      </w:pPr>
      <w:r>
        <w:rPr>
          <w:rFonts w:cs="Times New Roman"/>
        </w:rPr>
        <w:t xml:space="preserve"> </w:t>
      </w:r>
      <w:r w:rsidR="00C662FD">
        <w:rPr>
          <w:b/>
          <w:bCs/>
        </w:rPr>
        <w:t xml:space="preserve">Art. 2a [Nabycie nieruchomości, ograniczenia i wyłączenia] </w:t>
      </w:r>
    </w:p>
    <w:p w:rsidR="00A25F0C" w:rsidRDefault="00A25F0C" w:rsidP="00A25F0C">
      <w:pPr>
        <w:pStyle w:val="divparagraph"/>
        <w:jc w:val="both"/>
      </w:pPr>
      <w:r w:rsidRPr="00A25F0C">
        <w:rPr>
          <w:b/>
        </w:rPr>
        <w:t>1.</w:t>
      </w:r>
      <w:r>
        <w:t xml:space="preserve"> Nabywcą nieruchomości rolnej może być wyłącznie rolnik indywidualny, chyba że ustawa stanowi inaczej. Jeżeli nabywana nieruchomość rolna albo jej część ma wejść w skład wspólności majątkowej małżeńskiej wystarczające jest, gdy rolnikiem indywidualnym jest jeden z małżonków. 2. Powierzchnia nabywanej nieruchomości rolnej wraz z powierzchnią nieruchomości rolnych wchodzących w skład gospodarstwa rodzinnego nabywcy nie może przekraczać powierzchni 300 ha użytków rolnych ustalonej zgodnie z art. 5 ust. 2 i 3. 3. Przepisy ust. 1 i 2 nie dotyczą nabycia nieruchomości rolnej: </w:t>
      </w:r>
      <w:r>
        <w:rPr>
          <w:b/>
          <w:bCs/>
        </w:rPr>
        <w:t>1)</w:t>
      </w:r>
      <w:r>
        <w:t xml:space="preserve"> przez: </w:t>
      </w:r>
      <w:r>
        <w:rPr>
          <w:b/>
          <w:bCs/>
        </w:rPr>
        <w:t xml:space="preserve">a) </w:t>
      </w:r>
      <w:r>
        <w:t xml:space="preserve"> osobę bliską zbywcy, </w:t>
      </w:r>
      <w:r>
        <w:rPr>
          <w:b/>
          <w:bCs/>
        </w:rPr>
        <w:t xml:space="preserve">b) </w:t>
      </w:r>
      <w:r>
        <w:t xml:space="preserve"> jednostkę samorządu terytorialnego, </w:t>
      </w:r>
      <w:r>
        <w:rPr>
          <w:b/>
          <w:bCs/>
        </w:rPr>
        <w:t xml:space="preserve">c) </w:t>
      </w:r>
      <w:r>
        <w:t xml:space="preserve"> Skarb Państwa lub działający na jego rzecz Krajowy Ośrodek, </w:t>
      </w:r>
      <w:r>
        <w:rPr>
          <w:b/>
          <w:bCs/>
        </w:rPr>
        <w:t xml:space="preserve">d) </w:t>
      </w:r>
      <w:r>
        <w:t xml:space="preserve"> osoby prawne działające na podstawie przepisów o stosunku Państwa do Kościoła Katolickiego w Rzeczypospolitej Polskiej, o stosunku Państwa do innych kościołów i związków wyznaniowych oraz o gwarancjach wolności sumienia i wyznania, </w:t>
      </w:r>
      <w:r>
        <w:rPr>
          <w:b/>
          <w:bCs/>
        </w:rPr>
        <w:t xml:space="preserve">e) </w:t>
      </w:r>
      <w:r>
        <w:t xml:space="preserve"> parki narodowe, w przypadku zakupu nieruchomości rolnych na cele związane z ochroną przyrody; </w:t>
      </w:r>
    </w:p>
    <w:p w:rsidR="00A25F0C" w:rsidRDefault="00A25F0C" w:rsidP="00A25F0C">
      <w:pPr>
        <w:pStyle w:val="divpoint"/>
        <w:jc w:val="both"/>
      </w:pPr>
      <w:r>
        <w:rPr>
          <w:b/>
          <w:bCs/>
        </w:rPr>
        <w:t xml:space="preserve">2) </w:t>
      </w:r>
      <w:r>
        <w:t xml:space="preserve"> w wyniku dziedziczenia oraz zapisu windykacyjnego; </w:t>
      </w:r>
      <w:r>
        <w:rPr>
          <w:b/>
          <w:bCs/>
        </w:rPr>
        <w:t xml:space="preserve">3) </w:t>
      </w:r>
      <w:r>
        <w:t xml:space="preserve"> na podstawie art. 151 lub art. 231 Kodeksu cywilnego; </w:t>
      </w:r>
      <w:r>
        <w:rPr>
          <w:b/>
          <w:bCs/>
        </w:rPr>
        <w:t xml:space="preserve">4) </w:t>
      </w:r>
      <w:r>
        <w:t xml:space="preserve"> w toku postępowania restrukturyzacyjnego w ramach postępowania sanacyjnego. 4. </w:t>
      </w:r>
      <w:r>
        <w:rPr>
          <w:vertAlign w:val="superscript"/>
        </w:rPr>
        <w:endnoteReference w:customMarkFollows="1" w:id="1"/>
        <w:t xml:space="preserve"> </w:t>
      </w:r>
      <w:r>
        <w:t xml:space="preserve">Nabycie nieruchomości rolnej przez inne podmioty niż wymienione w ust. 1 i ust. 3 pkt 1 oraz w innych przypadkach niż wymienione w ust. 3 pkt 2-4, może nastąpić za zgodą Dyrektora Generalnego Krajowego Ośrodka, wyrażoną w drodze decyzji administracyjnej, wydanej na wniosek: </w:t>
      </w:r>
      <w:r>
        <w:rPr>
          <w:b/>
          <w:bCs/>
        </w:rPr>
        <w:t xml:space="preserve">1) </w:t>
      </w:r>
      <w:r>
        <w:t xml:space="preserve"> zbywcy, jeżeli: </w:t>
      </w:r>
      <w:r>
        <w:rPr>
          <w:b/>
          <w:bCs/>
        </w:rPr>
        <w:t xml:space="preserve">a) </w:t>
      </w:r>
      <w:r>
        <w:t xml:space="preserve"> wykaże on, że nie było możliwości nabycia nieruchomości rolnej przez podmioty, o których mowa w ust. 1 i 3, </w:t>
      </w:r>
      <w:r>
        <w:rPr>
          <w:b/>
          <w:bCs/>
        </w:rPr>
        <w:t xml:space="preserve">b) </w:t>
      </w:r>
      <w:r>
        <w:t xml:space="preserve"> nabywca daje rękojmię należytego prowadzenia działalności rolniczej, </w:t>
      </w:r>
      <w:r>
        <w:rPr>
          <w:b/>
          <w:bCs/>
        </w:rPr>
        <w:t xml:space="preserve">c) </w:t>
      </w:r>
      <w:r>
        <w:t xml:space="preserve"> w wyniku nabycia nie dojdzie do nadmiernej koncentracji gruntów rolnych; </w:t>
      </w:r>
    </w:p>
    <w:p w:rsidR="00A25F0C" w:rsidRDefault="00A25F0C" w:rsidP="00A25F0C">
      <w:pPr>
        <w:pStyle w:val="divpoint"/>
        <w:jc w:val="both"/>
      </w:pPr>
      <w:r>
        <w:rPr>
          <w:b/>
          <w:bCs/>
        </w:rPr>
        <w:t xml:space="preserve">2) </w:t>
      </w:r>
      <w:r>
        <w:t xml:space="preserve"> osoby fizycznej zamierzającej utworzyć gospodarstwo rodzinne, która:  </w:t>
      </w:r>
      <w:r>
        <w:rPr>
          <w:b/>
          <w:bCs/>
        </w:rPr>
        <w:t xml:space="preserve">a) </w:t>
      </w:r>
      <w:r>
        <w:t xml:space="preserve"> posiada kwalifikacje rolnicze albo której, pod warunkiem uzupełnienia kwalifikacji zawodowych, przyznano pomoc, o której mowa w art. 5 ust. 1 pkt 2 ustawy z dnia 7 marca 2007 r. o wspieraniu rozwoju obszarów wiejskich z udziałem środków Europejskiego Funduszu Rolnego na rzecz Rozwoju Obszarów Wiejskich w ramach Programu Rozwoju Obszarów Wiejskich na lata 2007-2013 (Dz.U. z 2016 r. poz. 1387 i 1579) albo w art. 3 ust. 1 pkt 6 lit. a ustawy z dnia 20 lutego 2015 r. o wspieraniu rozwoju obszarów wiejskich z udziałem środków Europejskiego Funduszu Rolnego na rzecz Rozwoju Obszarów Wiejskich w ramach Programu Rozwoju Obszarów Wiejskich na lata 2014-2020 (Dz.U. poz. 349 i 1888 oraz z 2016 r. poz. 337 i 1579), a termin na uzupełnienie tych kwalifikacji jeszcze nie upłynął, </w:t>
      </w:r>
      <w:r>
        <w:rPr>
          <w:b/>
          <w:bCs/>
        </w:rPr>
        <w:t xml:space="preserve">b) </w:t>
      </w:r>
      <w:r>
        <w:t xml:space="preserve"> daje rękojmię należytego prowadzenia działalności rolniczej, </w:t>
      </w:r>
      <w:r>
        <w:rPr>
          <w:b/>
          <w:bCs/>
        </w:rPr>
        <w:t xml:space="preserve">c) </w:t>
      </w:r>
      <w:r>
        <w:t xml:space="preserve"> zobowiąże się do zamieszkiwania w okresie 5 lat od dnia nabycia nieruchomości na terenie gminy, na obszarze której położona jest jedna z nieruchomości rolnych, która wejdzie w skład tworzonego gospodarstwa rodzinnego. 5. Organem wyższego stopnia, w rozumieniu przepisów Kodeksu postępowania administracyjnego, w sprawach, o których mowa w ust. 4, jest minister właściwy do spraw rozwoju wsi. 6.</w:t>
      </w:r>
      <w:r>
        <w:rPr>
          <w:vertAlign w:val="superscript"/>
        </w:rPr>
        <w:endnoteReference w:customMarkFollows="1" w:id="2"/>
        <w:t xml:space="preserve"> </w:t>
      </w:r>
      <w:r>
        <w:t>W przypadku niewyrażenia zgody, o której mowa w ust. 4, Krajowy Ośrodek, na pisemne żądanie zbywcy złożone w terminie miesiąca od dnia, w którym decyzja o niewyrażeniu zgody stała się ostateczna, jest obowiązana do złożenia oświadczenia o nabyciu nieruchomości rolnej za zapłatą równowartości pieniężnej odpowiadającej jej wartości rynkowej określonej przez Krajowy Ośrodek przy zastosowaniu sposobów ustalania wartości nieruchomości przewidzianych w przepisach o gospodarce nieruchomościami. 7.</w:t>
      </w:r>
      <w:r>
        <w:rPr>
          <w:vertAlign w:val="superscript"/>
        </w:rPr>
        <w:endnoteReference w:customMarkFollows="1" w:id="3"/>
        <w:t xml:space="preserve"> </w:t>
      </w:r>
      <w:r>
        <w:t xml:space="preserve">Krajowy Ośrodek w terminie miesiąca od otrzymania żądania zbywcy nieruchomości rolnej powiadamia go o wysokości równowartości pieniężnej, o której mowa w ust. 6. 8. Zbywca nieruchomości rolnej w terminie miesiąca od dnia otrzymania powiadomienia, o którym mowa w ust. 7, może: </w:t>
      </w:r>
      <w:r>
        <w:rPr>
          <w:b/>
          <w:bCs/>
        </w:rPr>
        <w:t>1)</w:t>
      </w:r>
      <w:r>
        <w:rPr>
          <w:vertAlign w:val="superscript"/>
        </w:rPr>
        <w:endnoteReference w:customMarkFollows="1" w:id="4"/>
        <w:t xml:space="preserve"> </w:t>
      </w:r>
      <w:r>
        <w:t xml:space="preserve"> wystąpić do sądu o ustalenie równowartości pieniężnej wartości rynkowej nieruchomości rolnej nabywanej przez Krajowy Ośrodek albo </w:t>
      </w:r>
      <w:r>
        <w:rPr>
          <w:b/>
          <w:bCs/>
        </w:rPr>
        <w:t>2)</w:t>
      </w:r>
      <w:r>
        <w:rPr>
          <w:vertAlign w:val="superscript"/>
        </w:rPr>
        <w:endnoteReference w:customMarkFollows="1" w:id="5"/>
        <w:t xml:space="preserve"> </w:t>
      </w:r>
      <w:r>
        <w:t xml:space="preserve"> złożyć pisemne oświadczenie o cofnięciu żądania nabycia tej nieruchomości przez Krajowy Ośrodek. 9. W przypadku, o którym mowa w ust. 8 pkt 1, sąd określa równowartość pieniężną wartości rynkowej nieruchomości rolnej przy zastosowaniu sposobów ustalania wartości nieruchomości przewidzianych w przepisach o gospodarce nieruchomościami. 10.</w:t>
      </w:r>
      <w:r>
        <w:rPr>
          <w:vertAlign w:val="superscript"/>
        </w:rPr>
        <w:endnoteReference w:customMarkFollows="1" w:id="6"/>
        <w:t xml:space="preserve"> </w:t>
      </w:r>
      <w:r>
        <w:t xml:space="preserve">W przypadku, o którym mowa w ust. 8 pkt 2, Krajowemu Ośrodkowi przysługuje roszczenie o zwrot poniesionych przez nią kosztów ustalenia równowartości pieniężnej wartości rynkowej nieruchomości rolnej. </w:t>
      </w:r>
    </w:p>
    <w:p w:rsidR="002A26C5" w:rsidRPr="002A26C5" w:rsidRDefault="002A26C5" w:rsidP="002A26C5">
      <w:pPr>
        <w:spacing w:after="0"/>
        <w:jc w:val="both"/>
      </w:pPr>
      <w:r>
        <w:rPr>
          <w:b/>
          <w:bCs/>
        </w:rPr>
        <w:t>Art. 2b [Obowiązki nabywcy nieruchomości]</w:t>
      </w:r>
    </w:p>
    <w:p w:rsidR="002A26C5" w:rsidRDefault="002A26C5" w:rsidP="002A26C5">
      <w:pPr>
        <w:pStyle w:val="divparagraph"/>
        <w:jc w:val="both"/>
      </w:pPr>
      <w:r>
        <w:t>1. Nabywca nieruchomości rolnej jest obowiązany prowadzić gospodarstwo rolne, w skład którego weszła nabyta nieruchomość rolna, przez okres co najmniej 10 lat od dnia nabycia przez niego tej nieruchomości, a w przypadku osoby fizycznej prowadzić to gospodarstwo osobiście. 2. W okresie, o którym mowa w ust. 1, nabyta nieruchomość nie może być zbyta ani oddana w posiadanie innym podmiotom. 3. Sąd, na wniosek nabywcy nieruchomości rolnej, wyrazi zgodę na dokonanie czynności, o których mowa w ust. 2, przed upływem okresu 10 lat od dnia przeniesienia własności tej nieruchomości, jeżeli konieczność jej dokonania wynika z przyczyn losowych, niezależnych od nabywcy. 4. Przepisów ust. 1 i 2 nie stosuje się do podmiotów, o których mowa w art. 2a ust. 3 pkt 1, oraz do nabywców nieruchomości rolnej w przypadkach, o których mowa w art. 2a ust. 3 pkt 2 i 3.</w:t>
      </w:r>
    </w:p>
    <w:p w:rsidR="002A26C5" w:rsidRDefault="002A26C5" w:rsidP="002A26C5">
      <w:pPr>
        <w:rPr>
          <w:rFonts w:ascii="Times New Roman" w:hAnsi="Times New Roman" w:cs="Times New Roman"/>
          <w:sz w:val="24"/>
          <w:szCs w:val="24"/>
        </w:rPr>
      </w:pPr>
    </w:p>
    <w:p w:rsidR="004F020E" w:rsidRDefault="002A26C5" w:rsidP="004F020E">
      <w:pPr>
        <w:spacing w:after="0"/>
        <w:rPr>
          <w:rFonts w:cs="Helvetica"/>
          <w:b/>
          <w:bCs/>
        </w:rPr>
      </w:pPr>
      <w:r w:rsidRPr="004F020E">
        <w:rPr>
          <w:rFonts w:cs="Helvetica"/>
          <w:b/>
          <w:bCs/>
        </w:rPr>
        <w:lastRenderedPageBreak/>
        <w:t>Art. 2c [Odpowiednie stosowanie do użytkowania wiec</w:t>
      </w:r>
      <w:r w:rsidR="004F020E">
        <w:rPr>
          <w:rFonts w:cs="Helvetica"/>
          <w:b/>
          <w:bCs/>
        </w:rPr>
        <w:t xml:space="preserve">zystego i do nabycia udziału we </w:t>
      </w:r>
      <w:r w:rsidRPr="004F020E">
        <w:rPr>
          <w:rFonts w:cs="Helvetica"/>
          <w:b/>
          <w:bCs/>
        </w:rPr>
        <w:t>współwłasności]</w:t>
      </w:r>
    </w:p>
    <w:p w:rsidR="002A26C5" w:rsidRDefault="002A26C5" w:rsidP="004F020E">
      <w:pPr>
        <w:spacing w:after="0"/>
        <w:rPr>
          <w:rFonts w:ascii="Helvetica" w:hAnsi="Helvetica" w:cs="Helvetica"/>
          <w:sz w:val="18"/>
          <w:szCs w:val="18"/>
        </w:rPr>
      </w:pPr>
      <w:r w:rsidRPr="00C5237B">
        <w:rPr>
          <w:rFonts w:ascii="Helvetica" w:hAnsi="Helvetica" w:cs="Helvetica"/>
          <w:b/>
          <w:bCs/>
          <w:sz w:val="18"/>
          <w:szCs w:val="18"/>
        </w:rPr>
        <w:t xml:space="preserve"> </w:t>
      </w:r>
      <w:r w:rsidRPr="00C5237B">
        <w:rPr>
          <w:rFonts w:ascii="Helvetica" w:hAnsi="Helvetica" w:cs="Helvetica"/>
          <w:sz w:val="18"/>
          <w:szCs w:val="18"/>
        </w:rPr>
        <w:t>Przepisy ustawy dotyczące nabycia nieruchomości rolnej stosuje się odpowiednio do nabycia:</w:t>
      </w:r>
      <w:r w:rsidR="00C5237B" w:rsidRPr="00C5237B">
        <w:rPr>
          <w:rFonts w:ascii="Helvetica" w:hAnsi="Helvetica" w:cs="Helvetica"/>
          <w:sz w:val="18"/>
          <w:szCs w:val="18"/>
        </w:rPr>
        <w:t xml:space="preserve"> </w:t>
      </w:r>
      <w:r w:rsidRPr="00C5237B">
        <w:rPr>
          <w:rFonts w:ascii="Helvetica" w:hAnsi="Helvetica" w:cs="Helvetica"/>
          <w:b/>
          <w:bCs/>
          <w:sz w:val="18"/>
          <w:szCs w:val="18"/>
        </w:rPr>
        <w:t xml:space="preserve">1) </w:t>
      </w:r>
      <w:r w:rsidRPr="00C5237B">
        <w:rPr>
          <w:rFonts w:ascii="Helvetica" w:hAnsi="Helvetica" w:cs="Helvetica"/>
          <w:sz w:val="18"/>
          <w:szCs w:val="18"/>
        </w:rPr>
        <w:t xml:space="preserve"> użytkowania wieczystego nieruchomości rolnej albo udziału lub części udziału w użytkowaniu wieczystym nieruchomości rolnej;</w:t>
      </w:r>
      <w:r w:rsidR="00C5237B" w:rsidRPr="00C5237B">
        <w:rPr>
          <w:rFonts w:ascii="Helvetica" w:hAnsi="Helvetica" w:cs="Helvetica"/>
          <w:sz w:val="18"/>
          <w:szCs w:val="18"/>
        </w:rPr>
        <w:t xml:space="preserve"> </w:t>
      </w:r>
      <w:r w:rsidRPr="00C5237B">
        <w:rPr>
          <w:rFonts w:ascii="Helvetica" w:hAnsi="Helvetica" w:cs="Helvetica"/>
          <w:b/>
          <w:bCs/>
          <w:sz w:val="18"/>
          <w:szCs w:val="18"/>
        </w:rPr>
        <w:t xml:space="preserve">2) </w:t>
      </w:r>
      <w:r w:rsidRPr="00C5237B">
        <w:rPr>
          <w:rFonts w:ascii="Helvetica" w:hAnsi="Helvetica" w:cs="Helvetica"/>
          <w:sz w:val="18"/>
          <w:szCs w:val="18"/>
        </w:rPr>
        <w:t xml:space="preserve"> udziału lub części udziału we współwłasności nieruchomości rolnej.</w:t>
      </w:r>
    </w:p>
    <w:p w:rsidR="00E23055" w:rsidRDefault="00E23055" w:rsidP="00E23055">
      <w:pPr>
        <w:spacing w:after="0"/>
      </w:pPr>
      <w:r>
        <w:rPr>
          <w:b/>
          <w:bCs/>
        </w:rPr>
        <w:t xml:space="preserve">Art. 5 [Gospodarstwo rodzinne] </w:t>
      </w:r>
    </w:p>
    <w:p w:rsidR="00E23055" w:rsidRDefault="00E23055" w:rsidP="00E23055">
      <w:pPr>
        <w:pStyle w:val="divparagraph"/>
        <w:jc w:val="both"/>
      </w:pPr>
      <w:r>
        <w:t xml:space="preserve">1. Za gospodarstwo rodzinne uważa się gospodarstwo rolne: </w:t>
      </w:r>
      <w:r>
        <w:rPr>
          <w:b/>
          <w:bCs/>
        </w:rPr>
        <w:t xml:space="preserve">1) </w:t>
      </w:r>
      <w:r>
        <w:t xml:space="preserve"> prowadzone przez rolnika indywidualnego oraz </w:t>
      </w:r>
      <w:r>
        <w:rPr>
          <w:b/>
          <w:bCs/>
        </w:rPr>
        <w:t xml:space="preserve">2) </w:t>
      </w:r>
      <w:r>
        <w:t xml:space="preserve"> w którym łączna powierzchnia użytków rolnych jest nie większa niż 300 ha. 2. Przy ustalaniu powierzchni użytków rolnych, o której mowa w ust. 1 pkt 2, będących przedmiotem współwłasności uwzględnia się powierzchnię nieruchomości rolnych odpowiadających udziałowi we współwłasności takich nieruchomości, a w przypadku współwłasności łącznej uwzględnia się łączną powierzchnię nieruchomości rolnych stanowiących przedmiot współwłasności. 3. Przepis ust. 2 stosuje się odpowiednio do ustalania powierzchni użytków rolnych będących przedmiotem współposiadania samoistnego oraz współposiadania na podstawie użytkowania wieczystego lub na podstawie umowy dzierżawy.</w:t>
      </w:r>
    </w:p>
    <w:p w:rsidR="004F020E" w:rsidRPr="004F020E" w:rsidRDefault="004F020E" w:rsidP="004F020E">
      <w:pPr>
        <w:spacing w:after="0"/>
        <w:rPr>
          <w:b/>
          <w:bCs/>
        </w:rPr>
      </w:pPr>
      <w:r w:rsidRPr="004F020E">
        <w:rPr>
          <w:b/>
          <w:bCs/>
        </w:rPr>
        <w:t xml:space="preserve">Art. 6 [Rolnik indywidualny] </w:t>
      </w:r>
    </w:p>
    <w:p w:rsidR="004F020E" w:rsidRPr="004F020E" w:rsidRDefault="004F020E" w:rsidP="00851C4F">
      <w:pPr>
        <w:spacing w:after="0"/>
        <w:jc w:val="both"/>
        <w:rPr>
          <w:rFonts w:ascii="Helvetica" w:hAnsi="Helvetica"/>
          <w:sz w:val="18"/>
          <w:szCs w:val="18"/>
        </w:rPr>
      </w:pPr>
      <w:r w:rsidRPr="004F020E">
        <w:rPr>
          <w:rFonts w:ascii="Helvetica" w:hAnsi="Helvetica"/>
          <w:sz w:val="18"/>
          <w:szCs w:val="18"/>
        </w:rPr>
        <w:t>1. Za rolnika indywidualnego uważa się osobę fizyczną będącą właścicielem, użytkownikiem wieczystym, samoistnym posiadaczem lub dzierżawcą nieruchomości rolnych, których łączna powierzchnia użytków rolnych nie przekracza 300 ha, posiadającą kwalifikacje rolnicze oraz co najmniej od 5 lat zamieszkałą w gminie, na obszarze której jest położona jedna z nieruchomości rolnych wchodzących w skład gospodarstwa rolnego i prowadzącą przez ten okres osobiście to gospodarstwo.</w:t>
      </w:r>
      <w:r w:rsidR="00851C4F">
        <w:rPr>
          <w:rFonts w:ascii="Helvetica" w:hAnsi="Helvetica"/>
          <w:sz w:val="18"/>
          <w:szCs w:val="18"/>
        </w:rPr>
        <w:t xml:space="preserve"> </w:t>
      </w:r>
      <w:r w:rsidRPr="004F020E">
        <w:rPr>
          <w:rFonts w:ascii="Helvetica" w:hAnsi="Helvetica"/>
          <w:sz w:val="18"/>
          <w:szCs w:val="18"/>
        </w:rPr>
        <w:t>2. Uważa się, że osoba fizyczna:</w:t>
      </w:r>
    </w:p>
    <w:p w:rsidR="004F020E" w:rsidRPr="004F020E" w:rsidRDefault="004F020E" w:rsidP="004F020E">
      <w:pPr>
        <w:pStyle w:val="divpoint"/>
      </w:pPr>
      <w:r w:rsidRPr="004F020E">
        <w:rPr>
          <w:b/>
          <w:bCs/>
        </w:rPr>
        <w:t xml:space="preserve">1) </w:t>
      </w:r>
      <w:r w:rsidRPr="004F020E">
        <w:t xml:space="preserve"> osobiście prowadzi gospodarstwo rolne, jeżeli: </w:t>
      </w:r>
    </w:p>
    <w:p w:rsidR="004F020E" w:rsidRPr="004F020E" w:rsidRDefault="004F020E" w:rsidP="004F020E">
      <w:pPr>
        <w:pStyle w:val="divpkt"/>
      </w:pPr>
      <w:r w:rsidRPr="004F020E">
        <w:rPr>
          <w:b/>
          <w:bCs/>
        </w:rPr>
        <w:t xml:space="preserve"> a) </w:t>
      </w:r>
      <w:r w:rsidRPr="004F020E">
        <w:t xml:space="preserve"> pracuje w tym gospodarstwie, </w:t>
      </w:r>
    </w:p>
    <w:p w:rsidR="004F020E" w:rsidRPr="00851C4F" w:rsidRDefault="004F020E" w:rsidP="00851C4F">
      <w:pPr>
        <w:pStyle w:val="divpkt"/>
      </w:pPr>
      <w:r w:rsidRPr="004F020E">
        <w:rPr>
          <w:b/>
          <w:bCs/>
        </w:rPr>
        <w:t xml:space="preserve"> b) </w:t>
      </w:r>
      <w:r w:rsidRPr="004F020E">
        <w:t xml:space="preserve"> podejmuje wszelkie decyzje dotyczące prowadzenia działalności rolniczej w tym gospodarstwie; </w:t>
      </w:r>
    </w:p>
    <w:p w:rsidR="004F020E" w:rsidRPr="004F020E" w:rsidRDefault="004F020E" w:rsidP="004F020E">
      <w:pPr>
        <w:pStyle w:val="divpoint"/>
      </w:pPr>
      <w:r w:rsidRPr="004F020E">
        <w:rPr>
          <w:b/>
          <w:bCs/>
        </w:rPr>
        <w:t xml:space="preserve">2) </w:t>
      </w:r>
      <w:r w:rsidRPr="004F020E">
        <w:rPr>
          <w:vertAlign w:val="superscript"/>
        </w:rPr>
        <w:endnoteReference w:customMarkFollows="1" w:id="7"/>
        <w:t xml:space="preserve"> </w:t>
      </w:r>
      <w:r w:rsidRPr="004F020E">
        <w:t xml:space="preserve"> posiada kwalifikacje rolnicze, jeżeli uzyskała: </w:t>
      </w:r>
    </w:p>
    <w:p w:rsidR="004F020E" w:rsidRPr="004F020E" w:rsidRDefault="004F020E" w:rsidP="004F020E">
      <w:pPr>
        <w:pStyle w:val="divpkt"/>
      </w:pPr>
      <w:r w:rsidRPr="004F020E">
        <w:rPr>
          <w:b/>
          <w:bCs/>
        </w:rPr>
        <w:t xml:space="preserve"> a) </w:t>
      </w:r>
      <w:r w:rsidRPr="004F020E">
        <w:t xml:space="preserve"> wykształcenie rolnicze zasadnicze zawodowe, zasadnicze branżowe, średnie, średnie branżowe lub wyższe lub </w:t>
      </w:r>
    </w:p>
    <w:p w:rsidR="004F020E" w:rsidRPr="004F020E" w:rsidRDefault="004F020E" w:rsidP="004F020E">
      <w:pPr>
        <w:pStyle w:val="divpkt"/>
      </w:pPr>
      <w:r w:rsidRPr="004F020E">
        <w:rPr>
          <w:b/>
          <w:bCs/>
        </w:rPr>
        <w:t xml:space="preserve"> b) </w:t>
      </w:r>
      <w:r w:rsidRPr="004F020E">
        <w:t xml:space="preserve"> tytuł kwalifikacyjny lub tytuł zawodowy, lub tytuł zawodowy mistrza w zawodzie przydatnym do prowadzenia działalności rolniczej i posiada co najmniej 3-letni staż pracy w rolnictwie, lub </w:t>
      </w:r>
    </w:p>
    <w:p w:rsidR="004F020E" w:rsidRPr="004F020E" w:rsidRDefault="004F020E" w:rsidP="004F020E">
      <w:pPr>
        <w:pStyle w:val="divpkt"/>
      </w:pPr>
      <w:r w:rsidRPr="004F020E">
        <w:rPr>
          <w:b/>
          <w:bCs/>
        </w:rPr>
        <w:t xml:space="preserve"> c) </w:t>
      </w:r>
      <w:r w:rsidRPr="004F020E">
        <w:t xml:space="preserve"> wykształcenie wyższe inne niż rolnicze i posiada co najmniej 3-letni staż pracy w rolnictwie albo wykształcenie wyższe inne niż rolnicze i ukończone studia podyplomowe w zakresie związanym z rolnictwem, albo wykształcenie średnie lub średnie branżowe inne niż rolnicze i posiada co najmniej 3-letni staż pracy w rolnictwie, lub </w:t>
      </w:r>
    </w:p>
    <w:p w:rsidR="004F020E" w:rsidRPr="004F020E" w:rsidRDefault="004F020E" w:rsidP="004F020E">
      <w:pPr>
        <w:pStyle w:val="divpkt"/>
      </w:pPr>
      <w:r w:rsidRPr="004F020E">
        <w:rPr>
          <w:b/>
          <w:bCs/>
        </w:rPr>
        <w:t xml:space="preserve"> d) </w:t>
      </w:r>
      <w:r w:rsidRPr="004F020E">
        <w:t xml:space="preserve"> wykształcenie podstawowe, gimnazjalne, zasadnicze zawodowe lub zasadnicze branżowe inne niż rolnicze i posiada co najmniej 5-letni staż pracy w rolnictwie. </w:t>
      </w:r>
    </w:p>
    <w:p w:rsidR="004F020E" w:rsidRPr="004F020E" w:rsidRDefault="004F020E" w:rsidP="00F77E2F">
      <w:pPr>
        <w:pStyle w:val="divparagraph"/>
        <w:jc w:val="both"/>
      </w:pPr>
      <w:r w:rsidRPr="004F020E">
        <w:t>3. Za staż pracy, o którym mowa w ust. 2, uznaje się okres, w którym osoba fizyczna:</w:t>
      </w:r>
      <w:r w:rsidR="00F77E2F">
        <w:t xml:space="preserve"> </w:t>
      </w:r>
      <w:r w:rsidRPr="004F020E">
        <w:rPr>
          <w:b/>
          <w:bCs/>
        </w:rPr>
        <w:t xml:space="preserve">1) </w:t>
      </w:r>
      <w:r w:rsidRPr="004F020E">
        <w:t xml:space="preserve"> podlegała ubezpieczeniu społecznemu rolników lub</w:t>
      </w:r>
      <w:r w:rsidR="00F77E2F">
        <w:t xml:space="preserve"> </w:t>
      </w:r>
      <w:r w:rsidRPr="004F020E">
        <w:rPr>
          <w:b/>
          <w:bCs/>
        </w:rPr>
        <w:t xml:space="preserve">2) </w:t>
      </w:r>
      <w:r w:rsidRPr="004F020E">
        <w:t xml:space="preserve"> prowadziła działalność rolniczą w gospodarstwie rolnym o obszarze nie mniejszym niż 1 ha stanowiącym jej własność, przedmiot użytkowania wieczystego, przedmiot samoistnego posiadania lub dzierżawy, lub</w:t>
      </w:r>
      <w:r w:rsidR="00F77E2F">
        <w:t xml:space="preserve"> </w:t>
      </w:r>
      <w:r w:rsidRPr="004F020E">
        <w:rPr>
          <w:b/>
          <w:bCs/>
        </w:rPr>
        <w:t xml:space="preserve">3) </w:t>
      </w:r>
      <w:r w:rsidRPr="004F020E">
        <w:t xml:space="preserve"> była zatrudniona w gospodarstwie rolnym na podstawie umowy o pracę lub spółdzielczej umowy o pracę, wykonując pracę związaną z prowadzeniem działalności rolniczej, lub</w:t>
      </w:r>
      <w:r w:rsidR="00F77E2F">
        <w:t xml:space="preserve"> </w:t>
      </w:r>
      <w:r w:rsidRPr="004F020E">
        <w:rPr>
          <w:b/>
          <w:bCs/>
        </w:rPr>
        <w:t xml:space="preserve">4) </w:t>
      </w:r>
      <w:r w:rsidRPr="004F020E">
        <w:t xml:space="preserve"> wykonywała pracę związaną z prowadzeniem działalności rolniczej w charakterze członka spółdzielni produkcji rolnej, lub</w:t>
      </w:r>
      <w:r w:rsidR="00F77E2F">
        <w:t xml:space="preserve"> </w:t>
      </w:r>
      <w:r w:rsidRPr="004F020E">
        <w:rPr>
          <w:b/>
          <w:bCs/>
        </w:rPr>
        <w:t xml:space="preserve">5) </w:t>
      </w:r>
      <w:r w:rsidRPr="004F020E">
        <w:t xml:space="preserve"> odbyła staż, o którym mowa w art. 53 ust. 1 ustawy z dnia 20 kwietnia 2004 r. o promocji zatrudnienia i instytucjach rynku pracy (Dz.U. z 2016 r. poz. 645, 691, 868, 1265 i 1579), obejmujący wykonywanie czynności związanych z prowadzeniem działalności rolniczej.</w:t>
      </w:r>
      <w:r w:rsidR="00F77E2F">
        <w:t xml:space="preserve"> </w:t>
      </w:r>
      <w:r w:rsidRPr="004F020E">
        <w:t>4. Przy ustalaniu powierzchni użytków rolnych, o których mowa w ust. 1, stosuje się odpowiednio przepisy art. 5 ust. 2 i 3.</w:t>
      </w:r>
    </w:p>
    <w:p w:rsidR="005E2330" w:rsidRPr="005E2330" w:rsidRDefault="004F020E" w:rsidP="005E2330">
      <w:pPr>
        <w:spacing w:after="0"/>
        <w:jc w:val="both"/>
        <w:rPr>
          <w:b/>
          <w:bCs/>
        </w:rPr>
      </w:pPr>
      <w:r w:rsidRPr="005E2330">
        <w:rPr>
          <w:b/>
          <w:bCs/>
        </w:rPr>
        <w:t xml:space="preserve">Art. 7 [Dokumenty potwierdzające] </w:t>
      </w:r>
    </w:p>
    <w:p w:rsidR="004F020E" w:rsidRPr="004F020E" w:rsidRDefault="004F020E" w:rsidP="005E2330">
      <w:pPr>
        <w:spacing w:after="0"/>
        <w:jc w:val="both"/>
        <w:rPr>
          <w:rFonts w:ascii="Helvetica" w:hAnsi="Helvetica"/>
          <w:sz w:val="18"/>
          <w:szCs w:val="18"/>
        </w:rPr>
      </w:pPr>
      <w:r w:rsidRPr="004F020E">
        <w:rPr>
          <w:rFonts w:ascii="Helvetica" w:hAnsi="Helvetica"/>
          <w:sz w:val="18"/>
          <w:szCs w:val="18"/>
        </w:rPr>
        <w:t xml:space="preserve">1. Dowodem potwierdzającym osobiste prowadzenie gospodarstwa rolnego jest oświadczenie prowadzącego to gospodarstwo, poświadczone przez wójta </w:t>
      </w:r>
      <w:r w:rsidR="005E2330">
        <w:rPr>
          <w:rFonts w:ascii="Helvetica" w:hAnsi="Helvetica"/>
          <w:sz w:val="18"/>
          <w:szCs w:val="18"/>
        </w:rPr>
        <w:t xml:space="preserve">(burmistrza, prezydenta miasta). </w:t>
      </w:r>
      <w:r w:rsidRPr="004F020E">
        <w:rPr>
          <w:rFonts w:ascii="Helvetica" w:hAnsi="Helvetica"/>
          <w:sz w:val="18"/>
          <w:szCs w:val="18"/>
        </w:rPr>
        <w:t>2.</w:t>
      </w:r>
      <w:r w:rsidRPr="004F020E">
        <w:rPr>
          <w:rFonts w:ascii="Helvetica" w:hAnsi="Helvetica"/>
          <w:i/>
          <w:iCs/>
          <w:sz w:val="18"/>
          <w:szCs w:val="18"/>
        </w:rPr>
        <w:t>(uchylony)</w:t>
      </w:r>
      <w:r w:rsidR="005E2330">
        <w:rPr>
          <w:rFonts w:ascii="Helvetica" w:hAnsi="Helvetica"/>
          <w:i/>
          <w:iCs/>
          <w:sz w:val="18"/>
          <w:szCs w:val="18"/>
        </w:rPr>
        <w:t xml:space="preserve"> </w:t>
      </w:r>
      <w:r w:rsidRPr="004F020E">
        <w:rPr>
          <w:rFonts w:ascii="Helvetica" w:hAnsi="Helvetica"/>
          <w:sz w:val="18"/>
          <w:szCs w:val="18"/>
        </w:rPr>
        <w:t>3.</w:t>
      </w:r>
      <w:r w:rsidRPr="004F020E">
        <w:rPr>
          <w:rFonts w:ascii="Helvetica" w:hAnsi="Helvetica"/>
          <w:i/>
          <w:iCs/>
          <w:sz w:val="18"/>
          <w:szCs w:val="18"/>
        </w:rPr>
        <w:t>(uchylony)</w:t>
      </w:r>
      <w:r w:rsidR="005E2330">
        <w:rPr>
          <w:rFonts w:ascii="Helvetica" w:hAnsi="Helvetica"/>
          <w:i/>
          <w:iCs/>
          <w:sz w:val="18"/>
          <w:szCs w:val="18"/>
        </w:rPr>
        <w:t xml:space="preserve"> </w:t>
      </w:r>
      <w:r w:rsidRPr="004F020E">
        <w:rPr>
          <w:rFonts w:ascii="Helvetica" w:hAnsi="Helvetica"/>
          <w:sz w:val="18"/>
          <w:szCs w:val="18"/>
        </w:rPr>
        <w:t>4. Dowodem potwierdzającym zamieszkanie jest zaświadczenie o zameldowaniu na pobyt stały.</w:t>
      </w:r>
      <w:r w:rsidR="005E2330">
        <w:rPr>
          <w:rFonts w:ascii="Helvetica" w:hAnsi="Helvetica"/>
          <w:sz w:val="18"/>
          <w:szCs w:val="18"/>
        </w:rPr>
        <w:t xml:space="preserve"> </w:t>
      </w:r>
      <w:r w:rsidRPr="004F020E">
        <w:rPr>
          <w:rFonts w:ascii="Helvetica" w:hAnsi="Helvetica"/>
          <w:sz w:val="18"/>
          <w:szCs w:val="18"/>
        </w:rPr>
        <w:t>5. Dowodem potwierdzającym spełnienie warunku określonego:</w:t>
      </w:r>
    </w:p>
    <w:p w:rsidR="004F020E" w:rsidRPr="004F020E" w:rsidRDefault="004F020E" w:rsidP="005E2330">
      <w:pPr>
        <w:pStyle w:val="divpoint"/>
        <w:jc w:val="both"/>
      </w:pPr>
      <w:r w:rsidRPr="004F020E">
        <w:rPr>
          <w:b/>
          <w:bCs/>
        </w:rPr>
        <w:t xml:space="preserve">1) </w:t>
      </w:r>
      <w:r w:rsidRPr="004F020E">
        <w:t xml:space="preserve"> w art. 5 ust. 1 pkt 1 w zakresie dotyczącym powierzchni użytków rolnych jest oświadczenie nabywcy albo uprawnionego do pierwokupu;</w:t>
      </w:r>
      <w:r w:rsidR="00CB07AF">
        <w:t xml:space="preserve"> </w:t>
      </w:r>
      <w:r w:rsidRPr="004F020E">
        <w:rPr>
          <w:b/>
          <w:bCs/>
        </w:rPr>
        <w:t xml:space="preserve">2) </w:t>
      </w:r>
      <w:r w:rsidRPr="004F020E">
        <w:t xml:space="preserve"> w art. 5 ust. 1 pkt 2 jest oświadczenie nabywcy albo uprawnionego do pierwokupu, poświadczone przez wójta (burmistrza, prezydenta miasta).</w:t>
      </w:r>
      <w:r w:rsidR="00CB07AF">
        <w:t xml:space="preserve"> </w:t>
      </w:r>
      <w:r w:rsidRPr="004F020E">
        <w:t xml:space="preserve">6. </w:t>
      </w:r>
      <w:r w:rsidRPr="00CB07AF">
        <w:rPr>
          <w:b/>
        </w:rPr>
        <w:t>Przy zawieraniu umowy, w wyniku której następuje przeniesienie własności nieruchomości rolnej</w:t>
      </w:r>
      <w:r w:rsidRPr="004F020E">
        <w:t xml:space="preserve">, </w:t>
      </w:r>
      <w:r w:rsidRPr="00CB07AF">
        <w:rPr>
          <w:b/>
        </w:rPr>
        <w:t>nabywca jest obowiązany do przedłożenia dowodów</w:t>
      </w:r>
      <w:r w:rsidRPr="004F020E">
        <w:t>, o których mowa w ust. 1, 4, 5 i 9 oraz przepisach wydanych na podstawie ust. 8 pkt 5, albo złożenia oświadczenia, że nie spełnia warunków określonych w art. 5 i 6. W oświadczeniu tym należy podać łączną powierzchnię i miejsce położenia nieruchomości rolnych, których nabywca jest właścicielem, użytkownikiem wieczystym, dzierżawcą lub samoistnym posiadaczem.</w:t>
      </w:r>
      <w:r w:rsidR="00CB07AF">
        <w:t xml:space="preserve"> </w:t>
      </w:r>
      <w:r w:rsidRPr="004F020E">
        <w:t>7. Dowody, o których mowa w ust. 1, 4, 5 i 9, w przepisach wydanych na podstawie ust. 8 pkt 5, oraz oświadczenie, o którym mowa w ust. 6, stanowią załączniki do umowy, w wyniku której następuje przeniesienie własności nieruchomości rolnej.</w:t>
      </w:r>
      <w:r w:rsidR="00CB07AF">
        <w:t xml:space="preserve"> </w:t>
      </w:r>
      <w:r w:rsidRPr="004F020E">
        <w:t>8. Minister właściwy do spraw rozwoju wsi określi, w drodze rozporządzenia:</w:t>
      </w:r>
      <w:r w:rsidR="00CB07AF">
        <w:t xml:space="preserve"> </w:t>
      </w:r>
      <w:r w:rsidRPr="004F020E">
        <w:rPr>
          <w:b/>
          <w:bCs/>
        </w:rPr>
        <w:t xml:space="preserve">1) </w:t>
      </w:r>
      <w:r w:rsidRPr="004F020E">
        <w:t xml:space="preserve"> wykaz kierunków studiów wyższych, których ukończenie uznaje się za posiadanie wykształcenia wyższego rolniczego,</w:t>
      </w:r>
      <w:r w:rsidR="00CB07AF">
        <w:t xml:space="preserve"> </w:t>
      </w:r>
      <w:r w:rsidRPr="004F020E">
        <w:rPr>
          <w:b/>
          <w:bCs/>
        </w:rPr>
        <w:t xml:space="preserve">2) </w:t>
      </w:r>
      <w:r w:rsidRPr="004F020E">
        <w:rPr>
          <w:vertAlign w:val="superscript"/>
        </w:rPr>
        <w:endnoteReference w:customMarkFollows="1" w:id="8"/>
        <w:t xml:space="preserve"> </w:t>
      </w:r>
      <w:r w:rsidRPr="004F020E">
        <w:t xml:space="preserve"> wykaz zawodów, których posiadanie uznaje się za wykształcenie średnie rolnicze, średnie branżowe rolnicze, zasadnicze zawodowe rolnicze lub zasadnicze branżowe rolnicze, </w:t>
      </w:r>
      <w:r w:rsidR="00CB07AF">
        <w:t xml:space="preserve"> </w:t>
      </w:r>
      <w:r w:rsidRPr="004F020E">
        <w:rPr>
          <w:b/>
          <w:bCs/>
        </w:rPr>
        <w:t xml:space="preserve">3) </w:t>
      </w:r>
      <w:r w:rsidRPr="004F020E">
        <w:t xml:space="preserve"> zagadnienia objęte zakresem studiów podyplomowych, ze względu na które uznaje się te </w:t>
      </w:r>
      <w:r w:rsidRPr="004F020E">
        <w:lastRenderedPageBreak/>
        <w:t>studia za studia podyplomowe, których zakres jest związany z rolnictwem,</w:t>
      </w:r>
      <w:r w:rsidR="00CB07AF">
        <w:t xml:space="preserve"> </w:t>
      </w:r>
      <w:r w:rsidRPr="004F020E">
        <w:rPr>
          <w:b/>
          <w:bCs/>
        </w:rPr>
        <w:t xml:space="preserve">4) </w:t>
      </w:r>
      <w:r w:rsidRPr="004F020E">
        <w:t xml:space="preserve"> wykaz tytułów kwalifikacyjnych, tytułów zawodowych oraz tytułów zawodowych mistrza w zawodzie przydatnym do prowadzenia działalności rolniczej,</w:t>
      </w:r>
      <w:r w:rsidR="00CB07AF">
        <w:t xml:space="preserve"> </w:t>
      </w:r>
      <w:r w:rsidRPr="004F020E">
        <w:rPr>
          <w:b/>
          <w:bCs/>
        </w:rPr>
        <w:t xml:space="preserve">5) </w:t>
      </w:r>
      <w:r w:rsidRPr="004F020E">
        <w:t xml:space="preserve"> rodzaje dowodów potwierdzających posiadanie kwalifikacji rolniczych, o których mowa w art. 6 ust. 2 pkt </w:t>
      </w:r>
      <w:r w:rsidR="00CB07AF">
        <w:t xml:space="preserve"> </w:t>
      </w:r>
      <w:r w:rsidRPr="004F020E">
        <w:t>2</w:t>
      </w:r>
      <w:r w:rsidR="00CB07AF">
        <w:t xml:space="preserve"> </w:t>
      </w:r>
      <w:r w:rsidRPr="004F020E">
        <w:t>- mając na względzie wykonywanie działalności rolniczej przez osoby posiadające kwalifikacje rolnicze.</w:t>
      </w:r>
    </w:p>
    <w:p w:rsidR="004F020E" w:rsidRPr="004F020E" w:rsidRDefault="004F020E" w:rsidP="005E2330">
      <w:pPr>
        <w:pStyle w:val="divparagraph"/>
        <w:jc w:val="both"/>
      </w:pPr>
      <w:r w:rsidRPr="004F020E">
        <w:t>9. Dowodem potwierdzającym posiadanie kwalifikacji rolniczych mogą być również odpowiednie dokumenty wydane przez właściwe organy lub instytucje państw członkowskich Europejskiego Obszaru Gospodarczego oraz Konfederacji Szwajcarskiej.</w:t>
      </w:r>
    </w:p>
    <w:p w:rsidR="004F020E" w:rsidRPr="004F020E" w:rsidRDefault="004F020E" w:rsidP="005E2330">
      <w:pPr>
        <w:jc w:val="both"/>
        <w:rPr>
          <w:rFonts w:ascii="Helvetica" w:hAnsi="Helvetica" w:cs="Times New Roman"/>
          <w:sz w:val="18"/>
          <w:szCs w:val="18"/>
        </w:rPr>
      </w:pPr>
    </w:p>
    <w:p w:rsidR="004C1C01" w:rsidRPr="004F020E" w:rsidRDefault="004C1C01" w:rsidP="00E23055">
      <w:pPr>
        <w:pStyle w:val="divparagraph"/>
        <w:jc w:val="both"/>
      </w:pPr>
    </w:p>
    <w:p w:rsidR="00E23055" w:rsidRPr="004F020E" w:rsidRDefault="00E23055" w:rsidP="00E23055">
      <w:pPr>
        <w:rPr>
          <w:rFonts w:ascii="Helvetica" w:hAnsi="Helvetica" w:cs="Times New Roman"/>
          <w:sz w:val="18"/>
          <w:szCs w:val="18"/>
        </w:rPr>
      </w:pPr>
    </w:p>
    <w:p w:rsidR="00E23055" w:rsidRPr="004F020E" w:rsidRDefault="00E23055" w:rsidP="00C5237B">
      <w:pPr>
        <w:jc w:val="both"/>
        <w:rPr>
          <w:rFonts w:ascii="Helvetica" w:hAnsi="Helvetica" w:cs="Helvetica"/>
          <w:sz w:val="18"/>
          <w:szCs w:val="18"/>
        </w:rPr>
      </w:pPr>
    </w:p>
    <w:p w:rsidR="00C5237B" w:rsidRPr="004F020E" w:rsidRDefault="00C5237B" w:rsidP="00C5237B">
      <w:pPr>
        <w:jc w:val="both"/>
        <w:rPr>
          <w:rFonts w:ascii="Helvetica" w:hAnsi="Helvetica" w:cs="Helvetica"/>
          <w:sz w:val="18"/>
          <w:szCs w:val="18"/>
        </w:rPr>
      </w:pPr>
    </w:p>
    <w:p w:rsidR="002A26C5" w:rsidRPr="004F020E" w:rsidRDefault="002A26C5" w:rsidP="00A25F0C">
      <w:pPr>
        <w:pStyle w:val="divpoint"/>
        <w:jc w:val="both"/>
      </w:pPr>
    </w:p>
    <w:p w:rsidR="00A25F0C" w:rsidRPr="004F020E" w:rsidRDefault="00A25F0C" w:rsidP="00A25F0C">
      <w:pPr>
        <w:rPr>
          <w:rFonts w:ascii="Helvetica" w:hAnsi="Helvetica" w:cs="Helvetica"/>
          <w:sz w:val="18"/>
          <w:szCs w:val="18"/>
        </w:rPr>
      </w:pPr>
    </w:p>
    <w:p w:rsidR="00A25F0C" w:rsidRDefault="00A25F0C" w:rsidP="00C662FD"/>
    <w:p w:rsidR="000734A9" w:rsidRPr="00C662FD" w:rsidRDefault="000734A9" w:rsidP="00704246">
      <w:pPr>
        <w:spacing w:after="0"/>
        <w:rPr>
          <w:rFonts w:cs="Times New Roman"/>
        </w:rPr>
      </w:pPr>
    </w:p>
    <w:p w:rsidR="00704246" w:rsidRPr="00874EFF" w:rsidRDefault="00704246" w:rsidP="00704246">
      <w:pPr>
        <w:spacing w:after="0"/>
        <w:rPr>
          <w:rFonts w:cs="Times New Roman"/>
        </w:rPr>
      </w:pPr>
    </w:p>
    <w:p w:rsidR="00C5237B" w:rsidRDefault="00C5237B">
      <w:pPr>
        <w:spacing w:after="0"/>
        <w:jc w:val="both"/>
        <w:rPr>
          <w:rFonts w:cs="Times New Roman"/>
        </w:rPr>
      </w:pPr>
    </w:p>
    <w:p w:rsidR="00A61665" w:rsidRDefault="00C5237B" w:rsidP="00C5237B">
      <w:pPr>
        <w:tabs>
          <w:tab w:val="left" w:pos="2895"/>
        </w:tabs>
        <w:rPr>
          <w:rFonts w:cs="Times New Roman"/>
        </w:rPr>
      </w:pPr>
      <w:r>
        <w:rPr>
          <w:rFonts w:cs="Times New Roman"/>
        </w:rPr>
        <w:tab/>
      </w:r>
    </w:p>
    <w:p w:rsidR="00C5237B" w:rsidRDefault="00C5237B" w:rsidP="00C5237B">
      <w:pPr>
        <w:tabs>
          <w:tab w:val="left" w:pos="2895"/>
        </w:tabs>
        <w:rPr>
          <w:rFonts w:cs="Times New Roman"/>
        </w:rPr>
      </w:pPr>
    </w:p>
    <w:p w:rsidR="00C5237B" w:rsidRDefault="00C5237B" w:rsidP="00C5237B">
      <w:pPr>
        <w:tabs>
          <w:tab w:val="left" w:pos="2895"/>
        </w:tabs>
        <w:rPr>
          <w:rFonts w:cs="Times New Roman"/>
        </w:rPr>
      </w:pPr>
    </w:p>
    <w:p w:rsidR="00C5237B" w:rsidRDefault="00C5237B" w:rsidP="00C5237B">
      <w:pPr>
        <w:tabs>
          <w:tab w:val="left" w:pos="2895"/>
        </w:tabs>
        <w:rPr>
          <w:rFonts w:cs="Times New Roman"/>
        </w:rPr>
      </w:pPr>
    </w:p>
    <w:p w:rsidR="00C5237B" w:rsidRDefault="00C5237B" w:rsidP="00C5237B">
      <w:pPr>
        <w:tabs>
          <w:tab w:val="left" w:pos="2895"/>
        </w:tabs>
        <w:rPr>
          <w:rFonts w:cs="Times New Roman"/>
        </w:rPr>
      </w:pPr>
    </w:p>
    <w:p w:rsidR="00C5237B" w:rsidRDefault="00C5237B" w:rsidP="00C5237B">
      <w:pPr>
        <w:tabs>
          <w:tab w:val="left" w:pos="2895"/>
        </w:tabs>
        <w:rPr>
          <w:rFonts w:cs="Times New Roman"/>
        </w:rPr>
      </w:pPr>
    </w:p>
    <w:p w:rsidR="00C5237B" w:rsidRDefault="00C5237B" w:rsidP="00C5237B">
      <w:pPr>
        <w:tabs>
          <w:tab w:val="left" w:pos="2895"/>
        </w:tabs>
        <w:rPr>
          <w:rFonts w:cs="Times New Roman"/>
        </w:rPr>
      </w:pPr>
    </w:p>
    <w:p w:rsidR="00C5237B" w:rsidRDefault="00C5237B" w:rsidP="00C5237B">
      <w:pPr>
        <w:tabs>
          <w:tab w:val="left" w:pos="2895"/>
        </w:tabs>
        <w:rPr>
          <w:rFonts w:cs="Times New Roman"/>
        </w:rPr>
      </w:pPr>
    </w:p>
    <w:p w:rsidR="00C5237B" w:rsidRDefault="00C5237B" w:rsidP="00C5237B">
      <w:pPr>
        <w:tabs>
          <w:tab w:val="left" w:pos="2895"/>
        </w:tabs>
        <w:rPr>
          <w:rFonts w:cs="Times New Roman"/>
        </w:rPr>
      </w:pPr>
    </w:p>
    <w:p w:rsidR="00C5237B" w:rsidRDefault="00C5237B" w:rsidP="00C5237B">
      <w:pPr>
        <w:tabs>
          <w:tab w:val="left" w:pos="2895"/>
        </w:tabs>
        <w:rPr>
          <w:rFonts w:cs="Times New Roman"/>
        </w:rPr>
      </w:pPr>
    </w:p>
    <w:p w:rsidR="00C5237B" w:rsidRDefault="00C5237B" w:rsidP="00C5237B">
      <w:pPr>
        <w:tabs>
          <w:tab w:val="left" w:pos="2895"/>
        </w:tabs>
        <w:rPr>
          <w:rFonts w:cs="Times New Roman"/>
        </w:rPr>
      </w:pPr>
    </w:p>
    <w:p w:rsidR="00C5237B" w:rsidRDefault="00C5237B" w:rsidP="00C5237B">
      <w:pPr>
        <w:tabs>
          <w:tab w:val="left" w:pos="2895"/>
        </w:tabs>
        <w:rPr>
          <w:rFonts w:cs="Times New Roman"/>
        </w:rPr>
      </w:pPr>
    </w:p>
    <w:p w:rsidR="00C5237B" w:rsidRDefault="00C5237B" w:rsidP="00C5237B">
      <w:pPr>
        <w:tabs>
          <w:tab w:val="left" w:pos="2895"/>
        </w:tabs>
        <w:rPr>
          <w:rFonts w:cs="Times New Roman"/>
        </w:rPr>
      </w:pPr>
    </w:p>
    <w:p w:rsidR="00C5237B" w:rsidRDefault="00C5237B" w:rsidP="00C5237B">
      <w:pPr>
        <w:tabs>
          <w:tab w:val="left" w:pos="2895"/>
        </w:tabs>
        <w:rPr>
          <w:rFonts w:cs="Times New Roman"/>
        </w:rPr>
      </w:pPr>
    </w:p>
    <w:p w:rsidR="00C5237B" w:rsidRDefault="00C5237B" w:rsidP="00C5237B">
      <w:pPr>
        <w:tabs>
          <w:tab w:val="left" w:pos="2895"/>
        </w:tabs>
        <w:rPr>
          <w:rFonts w:cs="Times New Roman"/>
        </w:rPr>
      </w:pPr>
    </w:p>
    <w:p w:rsidR="00C5237B" w:rsidRDefault="00C5237B" w:rsidP="00C5237B">
      <w:pPr>
        <w:tabs>
          <w:tab w:val="left" w:pos="2895"/>
        </w:tabs>
        <w:rPr>
          <w:rFonts w:cs="Times New Roman"/>
        </w:rPr>
      </w:pPr>
    </w:p>
    <w:p w:rsidR="00C5237B" w:rsidRDefault="00C5237B" w:rsidP="00C5237B">
      <w:pPr>
        <w:tabs>
          <w:tab w:val="left" w:pos="2895"/>
        </w:tabs>
        <w:rPr>
          <w:rFonts w:cs="Times New Roman"/>
        </w:rPr>
      </w:pPr>
    </w:p>
    <w:p w:rsidR="00C5237B" w:rsidRDefault="00C5237B" w:rsidP="00C5237B">
      <w:pPr>
        <w:tabs>
          <w:tab w:val="left" w:pos="2895"/>
        </w:tabs>
        <w:rPr>
          <w:rFonts w:cs="Times New Roman"/>
        </w:rPr>
      </w:pPr>
    </w:p>
    <w:p w:rsidR="00C5237B" w:rsidRDefault="00C5237B" w:rsidP="00C5237B">
      <w:pPr>
        <w:tabs>
          <w:tab w:val="left" w:pos="2895"/>
        </w:tabs>
        <w:rPr>
          <w:rFonts w:cs="Times New Roman"/>
        </w:rPr>
      </w:pPr>
    </w:p>
    <w:p w:rsidR="00C5237B" w:rsidRDefault="00C5237B" w:rsidP="00C5237B">
      <w:pPr>
        <w:tabs>
          <w:tab w:val="left" w:pos="2895"/>
        </w:tabs>
        <w:rPr>
          <w:rFonts w:cs="Times New Roman"/>
        </w:rPr>
      </w:pPr>
    </w:p>
    <w:p w:rsidR="00C5237B" w:rsidRDefault="00C5237B" w:rsidP="00C5237B">
      <w:pPr>
        <w:tabs>
          <w:tab w:val="left" w:pos="2895"/>
        </w:tabs>
        <w:rPr>
          <w:rFonts w:cs="Times New Roman"/>
        </w:rPr>
      </w:pPr>
    </w:p>
    <w:p w:rsidR="00C5237B" w:rsidRDefault="00C5237B" w:rsidP="00C5237B">
      <w:pPr>
        <w:tabs>
          <w:tab w:val="left" w:pos="2895"/>
        </w:tabs>
        <w:rPr>
          <w:rFonts w:cs="Times New Roman"/>
        </w:rPr>
      </w:pPr>
    </w:p>
    <w:p w:rsidR="00C5237B" w:rsidRPr="00C5237B" w:rsidRDefault="00C5237B" w:rsidP="00C5237B">
      <w:pPr>
        <w:tabs>
          <w:tab w:val="left" w:pos="2895"/>
        </w:tabs>
        <w:rPr>
          <w:rFonts w:cs="Times New Roman"/>
        </w:rPr>
      </w:pPr>
    </w:p>
    <w:sectPr w:rsidR="00C5237B" w:rsidRPr="00C5237B" w:rsidSect="0034583F">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1D5" w:rsidRDefault="00CE11D5" w:rsidP="00091D4C">
      <w:pPr>
        <w:spacing w:after="0" w:line="240" w:lineRule="auto"/>
      </w:pPr>
      <w:r>
        <w:separator/>
      </w:r>
    </w:p>
  </w:endnote>
  <w:endnote w:type="continuationSeparator" w:id="0">
    <w:p w:rsidR="00CE11D5" w:rsidRDefault="00CE11D5" w:rsidP="00091D4C">
      <w:pPr>
        <w:spacing w:after="0" w:line="240" w:lineRule="auto"/>
      </w:pPr>
      <w:r>
        <w:continuationSeparator/>
      </w:r>
    </w:p>
  </w:endnote>
  <w:endnote w:id="1">
    <w:p w:rsidR="00A25F0C" w:rsidRDefault="00A25F0C" w:rsidP="00A25F0C">
      <w:pPr>
        <w:spacing w:line="240" w:lineRule="auto"/>
        <w:rPr>
          <w:rFonts w:ascii="Times New Roman" w:hAnsi="Times New Roman" w:cs="Times New Roman"/>
          <w:sz w:val="24"/>
          <w:szCs w:val="24"/>
        </w:rPr>
      </w:pPr>
    </w:p>
  </w:endnote>
  <w:endnote w:id="2">
    <w:p w:rsidR="00A25F0C" w:rsidRDefault="00A25F0C" w:rsidP="00A25F0C">
      <w:pPr>
        <w:spacing w:line="240" w:lineRule="auto"/>
        <w:rPr>
          <w:rFonts w:ascii="Times New Roman" w:hAnsi="Times New Roman" w:cs="Times New Roman"/>
          <w:sz w:val="24"/>
          <w:szCs w:val="24"/>
        </w:rPr>
      </w:pPr>
    </w:p>
  </w:endnote>
  <w:endnote w:id="3">
    <w:p w:rsidR="00A25F0C" w:rsidRDefault="00A25F0C" w:rsidP="00A25F0C">
      <w:pPr>
        <w:spacing w:line="240" w:lineRule="auto"/>
        <w:rPr>
          <w:rFonts w:ascii="Times New Roman" w:hAnsi="Times New Roman" w:cs="Times New Roman"/>
          <w:sz w:val="24"/>
          <w:szCs w:val="24"/>
        </w:rPr>
      </w:pPr>
    </w:p>
  </w:endnote>
  <w:endnote w:id="4">
    <w:p w:rsidR="00A25F0C" w:rsidRDefault="00A25F0C" w:rsidP="00A25F0C">
      <w:pPr>
        <w:spacing w:line="240" w:lineRule="auto"/>
        <w:rPr>
          <w:rFonts w:ascii="Times New Roman" w:hAnsi="Times New Roman" w:cs="Times New Roman"/>
          <w:sz w:val="24"/>
          <w:szCs w:val="24"/>
        </w:rPr>
      </w:pPr>
    </w:p>
  </w:endnote>
  <w:endnote w:id="5">
    <w:p w:rsidR="00A25F0C" w:rsidRDefault="00A25F0C" w:rsidP="00A25F0C">
      <w:pPr>
        <w:spacing w:line="240" w:lineRule="auto"/>
        <w:rPr>
          <w:rFonts w:ascii="Times New Roman" w:hAnsi="Times New Roman" w:cs="Times New Roman"/>
          <w:sz w:val="24"/>
          <w:szCs w:val="24"/>
        </w:rPr>
      </w:pPr>
    </w:p>
  </w:endnote>
  <w:endnote w:id="6">
    <w:p w:rsidR="00A25F0C" w:rsidRDefault="00A25F0C" w:rsidP="00A25F0C">
      <w:pPr>
        <w:spacing w:line="240" w:lineRule="auto"/>
        <w:rPr>
          <w:rFonts w:ascii="Times New Roman" w:hAnsi="Times New Roman" w:cs="Times New Roman"/>
          <w:sz w:val="24"/>
          <w:szCs w:val="24"/>
        </w:rPr>
      </w:pPr>
    </w:p>
  </w:endnote>
  <w:endnote w:id="7">
    <w:p w:rsidR="004F020E" w:rsidRDefault="004F020E" w:rsidP="004F020E">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16"/>
          <w:szCs w:val="16"/>
          <w:vertAlign w:val="superscript"/>
        </w:rPr>
        <w:t>24)</w:t>
      </w:r>
      <w:r>
        <w:rPr>
          <w:rFonts w:ascii="Times New Roman" w:hAnsi="Times New Roman" w:cs="Times New Roman"/>
          <w:sz w:val="24"/>
          <w:szCs w:val="24"/>
        </w:rPr>
        <w:t xml:space="preserve">   </w:t>
      </w:r>
      <w:r>
        <w:rPr>
          <w:sz w:val="16"/>
          <w:szCs w:val="16"/>
        </w:rPr>
        <w:t>Art. 6 ust. 2 pkt 2 zmieniony ustawą z dnia 14.12.2016 r. (Dz.U. z 2017 r. poz. 60), która wchodzi w życie 1.09.2017 r.</w:t>
      </w:r>
    </w:p>
  </w:endnote>
  <w:endnote w:id="8">
    <w:p w:rsidR="004F020E" w:rsidRDefault="004F020E" w:rsidP="004F020E">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16"/>
          <w:szCs w:val="16"/>
          <w:vertAlign w:val="superscript"/>
        </w:rPr>
        <w:t>25)</w:t>
      </w:r>
      <w:r>
        <w:rPr>
          <w:rFonts w:ascii="Times New Roman" w:hAnsi="Times New Roman" w:cs="Times New Roman"/>
          <w:sz w:val="24"/>
          <w:szCs w:val="24"/>
        </w:rPr>
        <w:t xml:space="preserve">   </w:t>
      </w:r>
      <w:r>
        <w:rPr>
          <w:sz w:val="16"/>
          <w:szCs w:val="16"/>
        </w:rPr>
        <w:t>Art. 7 ust. 8 pkt 2 zmieniony ustawą z dnia 14.12.2016 r. (Dz.U. z 2017 r. poz. 60), która wchodzi w życie 1.09.2017 r.</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08192"/>
      <w:docPartObj>
        <w:docPartGallery w:val="Page Numbers (Bottom of Page)"/>
        <w:docPartUnique/>
      </w:docPartObj>
    </w:sdtPr>
    <w:sdtContent>
      <w:p w:rsidR="00295F70" w:rsidRDefault="00EE2923">
        <w:pPr>
          <w:pStyle w:val="Stopka"/>
          <w:jc w:val="right"/>
        </w:pPr>
        <w:fldSimple w:instr=" PAGE   \* MERGEFORMAT ">
          <w:r w:rsidR="00923E25">
            <w:rPr>
              <w:noProof/>
            </w:rPr>
            <w:t>4</w:t>
          </w:r>
        </w:fldSimple>
      </w:p>
    </w:sdtContent>
  </w:sdt>
  <w:p w:rsidR="00295F70" w:rsidRDefault="00295F7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1D5" w:rsidRDefault="00CE11D5" w:rsidP="00091D4C">
      <w:pPr>
        <w:spacing w:after="0" w:line="240" w:lineRule="auto"/>
      </w:pPr>
      <w:r>
        <w:separator/>
      </w:r>
    </w:p>
  </w:footnote>
  <w:footnote w:type="continuationSeparator" w:id="0">
    <w:p w:rsidR="00CE11D5" w:rsidRDefault="00CE11D5" w:rsidP="00091D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970A1"/>
    <w:multiLevelType w:val="hybridMultilevel"/>
    <w:tmpl w:val="1082B9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C3BED"/>
    <w:rsid w:val="00007640"/>
    <w:rsid w:val="00010DBF"/>
    <w:rsid w:val="0001370A"/>
    <w:rsid w:val="0002176F"/>
    <w:rsid w:val="000250E8"/>
    <w:rsid w:val="00026D5D"/>
    <w:rsid w:val="0003452D"/>
    <w:rsid w:val="00037C86"/>
    <w:rsid w:val="000403C2"/>
    <w:rsid w:val="0004131A"/>
    <w:rsid w:val="000501F2"/>
    <w:rsid w:val="000642DA"/>
    <w:rsid w:val="00066431"/>
    <w:rsid w:val="000670C3"/>
    <w:rsid w:val="000734A9"/>
    <w:rsid w:val="00076ED6"/>
    <w:rsid w:val="00082A07"/>
    <w:rsid w:val="00084770"/>
    <w:rsid w:val="00091D4C"/>
    <w:rsid w:val="00092637"/>
    <w:rsid w:val="000929E6"/>
    <w:rsid w:val="00092BC6"/>
    <w:rsid w:val="00094B3D"/>
    <w:rsid w:val="00097F1D"/>
    <w:rsid w:val="000A65FF"/>
    <w:rsid w:val="000B21BD"/>
    <w:rsid w:val="000B330E"/>
    <w:rsid w:val="000C1A62"/>
    <w:rsid w:val="000C3D94"/>
    <w:rsid w:val="000D0832"/>
    <w:rsid w:val="000E0F83"/>
    <w:rsid w:val="000E55CE"/>
    <w:rsid w:val="000E5CD5"/>
    <w:rsid w:val="000F0186"/>
    <w:rsid w:val="001042EF"/>
    <w:rsid w:val="00104DBA"/>
    <w:rsid w:val="001054F3"/>
    <w:rsid w:val="00106949"/>
    <w:rsid w:val="001225BC"/>
    <w:rsid w:val="00122C61"/>
    <w:rsid w:val="00124768"/>
    <w:rsid w:val="00131BC1"/>
    <w:rsid w:val="00131FCB"/>
    <w:rsid w:val="001351B4"/>
    <w:rsid w:val="00145624"/>
    <w:rsid w:val="00146E78"/>
    <w:rsid w:val="00150779"/>
    <w:rsid w:val="00150EE7"/>
    <w:rsid w:val="00151705"/>
    <w:rsid w:val="0015236E"/>
    <w:rsid w:val="00153953"/>
    <w:rsid w:val="00156D87"/>
    <w:rsid w:val="00156E19"/>
    <w:rsid w:val="001604FD"/>
    <w:rsid w:val="00160C5A"/>
    <w:rsid w:val="0017021D"/>
    <w:rsid w:val="00175035"/>
    <w:rsid w:val="00175FA0"/>
    <w:rsid w:val="00185D3E"/>
    <w:rsid w:val="00191A7F"/>
    <w:rsid w:val="0019387C"/>
    <w:rsid w:val="001A3A4A"/>
    <w:rsid w:val="001B418F"/>
    <w:rsid w:val="001B48AB"/>
    <w:rsid w:val="001B64DC"/>
    <w:rsid w:val="001C03CC"/>
    <w:rsid w:val="001D242E"/>
    <w:rsid w:val="001D7B1E"/>
    <w:rsid w:val="001E34DC"/>
    <w:rsid w:val="001E3597"/>
    <w:rsid w:val="001E3DDC"/>
    <w:rsid w:val="001E6CF3"/>
    <w:rsid w:val="001F0984"/>
    <w:rsid w:val="001F256F"/>
    <w:rsid w:val="002055C4"/>
    <w:rsid w:val="00205694"/>
    <w:rsid w:val="002069CE"/>
    <w:rsid w:val="00216C13"/>
    <w:rsid w:val="0022167F"/>
    <w:rsid w:val="00221ED3"/>
    <w:rsid w:val="0022556C"/>
    <w:rsid w:val="0022597F"/>
    <w:rsid w:val="00230185"/>
    <w:rsid w:val="00243C69"/>
    <w:rsid w:val="00243D49"/>
    <w:rsid w:val="0024580D"/>
    <w:rsid w:val="0024771A"/>
    <w:rsid w:val="0025035A"/>
    <w:rsid w:val="00251529"/>
    <w:rsid w:val="002515D8"/>
    <w:rsid w:val="002625AC"/>
    <w:rsid w:val="00267516"/>
    <w:rsid w:val="00267606"/>
    <w:rsid w:val="00273F59"/>
    <w:rsid w:val="002747BD"/>
    <w:rsid w:val="00274F23"/>
    <w:rsid w:val="00277612"/>
    <w:rsid w:val="00283114"/>
    <w:rsid w:val="0028448E"/>
    <w:rsid w:val="00286B5F"/>
    <w:rsid w:val="00292354"/>
    <w:rsid w:val="002924B6"/>
    <w:rsid w:val="00294528"/>
    <w:rsid w:val="00295F70"/>
    <w:rsid w:val="00296F32"/>
    <w:rsid w:val="002A04C6"/>
    <w:rsid w:val="002A26C5"/>
    <w:rsid w:val="002A29A8"/>
    <w:rsid w:val="002B66A2"/>
    <w:rsid w:val="002B6E54"/>
    <w:rsid w:val="002C0E99"/>
    <w:rsid w:val="002C12DA"/>
    <w:rsid w:val="002C1F4C"/>
    <w:rsid w:val="002C4EAC"/>
    <w:rsid w:val="002C766A"/>
    <w:rsid w:val="002D3692"/>
    <w:rsid w:val="002D3B91"/>
    <w:rsid w:val="002D5422"/>
    <w:rsid w:val="002D5FC8"/>
    <w:rsid w:val="002E3563"/>
    <w:rsid w:val="002E5160"/>
    <w:rsid w:val="002E6DFD"/>
    <w:rsid w:val="002F1831"/>
    <w:rsid w:val="002F6350"/>
    <w:rsid w:val="00303B9E"/>
    <w:rsid w:val="00304176"/>
    <w:rsid w:val="00304218"/>
    <w:rsid w:val="0030588F"/>
    <w:rsid w:val="00310176"/>
    <w:rsid w:val="0031074B"/>
    <w:rsid w:val="003179F4"/>
    <w:rsid w:val="00332328"/>
    <w:rsid w:val="00335F67"/>
    <w:rsid w:val="003406C6"/>
    <w:rsid w:val="00342EF6"/>
    <w:rsid w:val="00342F84"/>
    <w:rsid w:val="0034583F"/>
    <w:rsid w:val="00357DEE"/>
    <w:rsid w:val="00361BA4"/>
    <w:rsid w:val="00362D5A"/>
    <w:rsid w:val="003659B8"/>
    <w:rsid w:val="003706EE"/>
    <w:rsid w:val="00370EFC"/>
    <w:rsid w:val="0037214C"/>
    <w:rsid w:val="003800C3"/>
    <w:rsid w:val="003825D4"/>
    <w:rsid w:val="00387658"/>
    <w:rsid w:val="00390014"/>
    <w:rsid w:val="003B3AE5"/>
    <w:rsid w:val="003B584B"/>
    <w:rsid w:val="003D3877"/>
    <w:rsid w:val="003E151F"/>
    <w:rsid w:val="003E4C86"/>
    <w:rsid w:val="003F19A8"/>
    <w:rsid w:val="003F3C73"/>
    <w:rsid w:val="00403251"/>
    <w:rsid w:val="0040555E"/>
    <w:rsid w:val="004071B0"/>
    <w:rsid w:val="004141EC"/>
    <w:rsid w:val="0041560D"/>
    <w:rsid w:val="00426ED4"/>
    <w:rsid w:val="00430404"/>
    <w:rsid w:val="00432B44"/>
    <w:rsid w:val="00443944"/>
    <w:rsid w:val="00446528"/>
    <w:rsid w:val="00455CBC"/>
    <w:rsid w:val="0046065A"/>
    <w:rsid w:val="004657D0"/>
    <w:rsid w:val="0046674F"/>
    <w:rsid w:val="0046731B"/>
    <w:rsid w:val="00476BBC"/>
    <w:rsid w:val="00481E51"/>
    <w:rsid w:val="004842CF"/>
    <w:rsid w:val="00484A02"/>
    <w:rsid w:val="00485455"/>
    <w:rsid w:val="00496961"/>
    <w:rsid w:val="004A22D9"/>
    <w:rsid w:val="004A23A0"/>
    <w:rsid w:val="004A28BD"/>
    <w:rsid w:val="004A44AA"/>
    <w:rsid w:val="004A6279"/>
    <w:rsid w:val="004B0205"/>
    <w:rsid w:val="004C1C01"/>
    <w:rsid w:val="004C4933"/>
    <w:rsid w:val="004C50FB"/>
    <w:rsid w:val="004C582E"/>
    <w:rsid w:val="004D415B"/>
    <w:rsid w:val="004D4BE5"/>
    <w:rsid w:val="004D7623"/>
    <w:rsid w:val="004E2195"/>
    <w:rsid w:val="004F020E"/>
    <w:rsid w:val="00505142"/>
    <w:rsid w:val="00506368"/>
    <w:rsid w:val="00507DE0"/>
    <w:rsid w:val="00517268"/>
    <w:rsid w:val="00525DE4"/>
    <w:rsid w:val="005320E8"/>
    <w:rsid w:val="005559E0"/>
    <w:rsid w:val="00557E61"/>
    <w:rsid w:val="005623B5"/>
    <w:rsid w:val="0056307E"/>
    <w:rsid w:val="00574E82"/>
    <w:rsid w:val="005757BE"/>
    <w:rsid w:val="00576F44"/>
    <w:rsid w:val="00592675"/>
    <w:rsid w:val="005D1A2E"/>
    <w:rsid w:val="005D2A82"/>
    <w:rsid w:val="005D2F6D"/>
    <w:rsid w:val="005D49AD"/>
    <w:rsid w:val="005D68FF"/>
    <w:rsid w:val="005D77B5"/>
    <w:rsid w:val="005E0C6B"/>
    <w:rsid w:val="005E2330"/>
    <w:rsid w:val="005E70BD"/>
    <w:rsid w:val="005F0633"/>
    <w:rsid w:val="005F228A"/>
    <w:rsid w:val="005F4B18"/>
    <w:rsid w:val="005F73C6"/>
    <w:rsid w:val="0060369C"/>
    <w:rsid w:val="006045BF"/>
    <w:rsid w:val="00604992"/>
    <w:rsid w:val="006102B2"/>
    <w:rsid w:val="006105C1"/>
    <w:rsid w:val="006131AC"/>
    <w:rsid w:val="00614271"/>
    <w:rsid w:val="0061677B"/>
    <w:rsid w:val="006172E1"/>
    <w:rsid w:val="0062539D"/>
    <w:rsid w:val="00631733"/>
    <w:rsid w:val="00633E76"/>
    <w:rsid w:val="00643A70"/>
    <w:rsid w:val="006441AE"/>
    <w:rsid w:val="006454CF"/>
    <w:rsid w:val="0064576E"/>
    <w:rsid w:val="00646899"/>
    <w:rsid w:val="00647077"/>
    <w:rsid w:val="006504B2"/>
    <w:rsid w:val="006623F2"/>
    <w:rsid w:val="00665AC2"/>
    <w:rsid w:val="006803F5"/>
    <w:rsid w:val="0068621A"/>
    <w:rsid w:val="0069779F"/>
    <w:rsid w:val="006A2112"/>
    <w:rsid w:val="006A2E5C"/>
    <w:rsid w:val="006A4802"/>
    <w:rsid w:val="006B2800"/>
    <w:rsid w:val="006B5DE6"/>
    <w:rsid w:val="006B75FE"/>
    <w:rsid w:val="006C12CD"/>
    <w:rsid w:val="006C5571"/>
    <w:rsid w:val="006C56BC"/>
    <w:rsid w:val="006D03C6"/>
    <w:rsid w:val="006D5030"/>
    <w:rsid w:val="006E52BB"/>
    <w:rsid w:val="006E52EB"/>
    <w:rsid w:val="006E5CC5"/>
    <w:rsid w:val="006E75A6"/>
    <w:rsid w:val="006F2572"/>
    <w:rsid w:val="006F37EE"/>
    <w:rsid w:val="007024ED"/>
    <w:rsid w:val="00704246"/>
    <w:rsid w:val="00705317"/>
    <w:rsid w:val="00710DB6"/>
    <w:rsid w:val="0071380E"/>
    <w:rsid w:val="007174DA"/>
    <w:rsid w:val="00721E7B"/>
    <w:rsid w:val="0072451B"/>
    <w:rsid w:val="00735B69"/>
    <w:rsid w:val="00747FCB"/>
    <w:rsid w:val="00756716"/>
    <w:rsid w:val="00756B2E"/>
    <w:rsid w:val="00760416"/>
    <w:rsid w:val="00763884"/>
    <w:rsid w:val="0076658A"/>
    <w:rsid w:val="00767C79"/>
    <w:rsid w:val="0079020D"/>
    <w:rsid w:val="00791CBF"/>
    <w:rsid w:val="007977CF"/>
    <w:rsid w:val="007A72FA"/>
    <w:rsid w:val="007A79EA"/>
    <w:rsid w:val="007B53A9"/>
    <w:rsid w:val="007C227A"/>
    <w:rsid w:val="007C4E47"/>
    <w:rsid w:val="007D20A4"/>
    <w:rsid w:val="007D5AB9"/>
    <w:rsid w:val="007E3546"/>
    <w:rsid w:val="007E5225"/>
    <w:rsid w:val="007E5F36"/>
    <w:rsid w:val="007E634D"/>
    <w:rsid w:val="0080240B"/>
    <w:rsid w:val="00807A02"/>
    <w:rsid w:val="008122D8"/>
    <w:rsid w:val="00812455"/>
    <w:rsid w:val="008149CE"/>
    <w:rsid w:val="00816DD8"/>
    <w:rsid w:val="008177AA"/>
    <w:rsid w:val="0082488C"/>
    <w:rsid w:val="0082538D"/>
    <w:rsid w:val="00827A87"/>
    <w:rsid w:val="00833083"/>
    <w:rsid w:val="00845AB1"/>
    <w:rsid w:val="008479EC"/>
    <w:rsid w:val="00851C4F"/>
    <w:rsid w:val="008527FC"/>
    <w:rsid w:val="00872ED2"/>
    <w:rsid w:val="00874EFF"/>
    <w:rsid w:val="00882FA3"/>
    <w:rsid w:val="00886028"/>
    <w:rsid w:val="008902A6"/>
    <w:rsid w:val="00892B3C"/>
    <w:rsid w:val="008A25C4"/>
    <w:rsid w:val="008A2A56"/>
    <w:rsid w:val="008A59F5"/>
    <w:rsid w:val="008B1115"/>
    <w:rsid w:val="008B2948"/>
    <w:rsid w:val="008C28BC"/>
    <w:rsid w:val="008C33F2"/>
    <w:rsid w:val="008C3EF9"/>
    <w:rsid w:val="008D195F"/>
    <w:rsid w:val="008D4C52"/>
    <w:rsid w:val="008D6882"/>
    <w:rsid w:val="008D73BD"/>
    <w:rsid w:val="008E082D"/>
    <w:rsid w:val="008E36F0"/>
    <w:rsid w:val="008E50E6"/>
    <w:rsid w:val="008F0654"/>
    <w:rsid w:val="009172A5"/>
    <w:rsid w:val="00923E25"/>
    <w:rsid w:val="00925BD7"/>
    <w:rsid w:val="009406F5"/>
    <w:rsid w:val="00942960"/>
    <w:rsid w:val="009439E7"/>
    <w:rsid w:val="0094623A"/>
    <w:rsid w:val="0095284C"/>
    <w:rsid w:val="009546E9"/>
    <w:rsid w:val="009559B5"/>
    <w:rsid w:val="00955A96"/>
    <w:rsid w:val="00963852"/>
    <w:rsid w:val="0096484F"/>
    <w:rsid w:val="00971C7F"/>
    <w:rsid w:val="009832C8"/>
    <w:rsid w:val="00983EC3"/>
    <w:rsid w:val="00985509"/>
    <w:rsid w:val="00987167"/>
    <w:rsid w:val="00991D30"/>
    <w:rsid w:val="00993281"/>
    <w:rsid w:val="00993B1D"/>
    <w:rsid w:val="009C1713"/>
    <w:rsid w:val="009C345E"/>
    <w:rsid w:val="009C546D"/>
    <w:rsid w:val="009D3BF8"/>
    <w:rsid w:val="009D5429"/>
    <w:rsid w:val="009E0B47"/>
    <w:rsid w:val="009E4A23"/>
    <w:rsid w:val="009F231D"/>
    <w:rsid w:val="009F61DC"/>
    <w:rsid w:val="00A0663B"/>
    <w:rsid w:val="00A06D59"/>
    <w:rsid w:val="00A136B7"/>
    <w:rsid w:val="00A25A60"/>
    <w:rsid w:val="00A25F0C"/>
    <w:rsid w:val="00A322D6"/>
    <w:rsid w:val="00A34303"/>
    <w:rsid w:val="00A345BC"/>
    <w:rsid w:val="00A34EB7"/>
    <w:rsid w:val="00A40A3D"/>
    <w:rsid w:val="00A4425A"/>
    <w:rsid w:val="00A518BA"/>
    <w:rsid w:val="00A5275F"/>
    <w:rsid w:val="00A54F55"/>
    <w:rsid w:val="00A56D90"/>
    <w:rsid w:val="00A60D7F"/>
    <w:rsid w:val="00A61596"/>
    <w:rsid w:val="00A61665"/>
    <w:rsid w:val="00A61E64"/>
    <w:rsid w:val="00A63DD0"/>
    <w:rsid w:val="00A64B51"/>
    <w:rsid w:val="00A672B1"/>
    <w:rsid w:val="00A67DCD"/>
    <w:rsid w:val="00A705A9"/>
    <w:rsid w:val="00A71D75"/>
    <w:rsid w:val="00A74722"/>
    <w:rsid w:val="00A82580"/>
    <w:rsid w:val="00A82A6C"/>
    <w:rsid w:val="00A87AA9"/>
    <w:rsid w:val="00A92665"/>
    <w:rsid w:val="00A961C9"/>
    <w:rsid w:val="00AA09B7"/>
    <w:rsid w:val="00AB0E46"/>
    <w:rsid w:val="00AC2725"/>
    <w:rsid w:val="00AC5F97"/>
    <w:rsid w:val="00AD2CC3"/>
    <w:rsid w:val="00AD4397"/>
    <w:rsid w:val="00AD45BF"/>
    <w:rsid w:val="00AE081F"/>
    <w:rsid w:val="00AE10D8"/>
    <w:rsid w:val="00AE3780"/>
    <w:rsid w:val="00AE4B67"/>
    <w:rsid w:val="00AE7DE5"/>
    <w:rsid w:val="00AF6A5D"/>
    <w:rsid w:val="00B02BE5"/>
    <w:rsid w:val="00B036BE"/>
    <w:rsid w:val="00B05F43"/>
    <w:rsid w:val="00B061A6"/>
    <w:rsid w:val="00B11BBD"/>
    <w:rsid w:val="00B24083"/>
    <w:rsid w:val="00B24D53"/>
    <w:rsid w:val="00B254FF"/>
    <w:rsid w:val="00B34F83"/>
    <w:rsid w:val="00B36FBB"/>
    <w:rsid w:val="00B43438"/>
    <w:rsid w:val="00B51B47"/>
    <w:rsid w:val="00B52A86"/>
    <w:rsid w:val="00B57772"/>
    <w:rsid w:val="00B60A62"/>
    <w:rsid w:val="00B61B2B"/>
    <w:rsid w:val="00B63CE0"/>
    <w:rsid w:val="00B646B3"/>
    <w:rsid w:val="00B64A4F"/>
    <w:rsid w:val="00B651AF"/>
    <w:rsid w:val="00B66A7D"/>
    <w:rsid w:val="00B67448"/>
    <w:rsid w:val="00B70035"/>
    <w:rsid w:val="00B7287E"/>
    <w:rsid w:val="00B809F1"/>
    <w:rsid w:val="00B907D2"/>
    <w:rsid w:val="00B92475"/>
    <w:rsid w:val="00B97046"/>
    <w:rsid w:val="00BA239F"/>
    <w:rsid w:val="00BA31D6"/>
    <w:rsid w:val="00BA331E"/>
    <w:rsid w:val="00BA53D7"/>
    <w:rsid w:val="00BA73DB"/>
    <w:rsid w:val="00BB5CEE"/>
    <w:rsid w:val="00BB688E"/>
    <w:rsid w:val="00BB752D"/>
    <w:rsid w:val="00BC0402"/>
    <w:rsid w:val="00BC3EA5"/>
    <w:rsid w:val="00BC4619"/>
    <w:rsid w:val="00BC66C0"/>
    <w:rsid w:val="00BD177C"/>
    <w:rsid w:val="00BD5472"/>
    <w:rsid w:val="00BE68B7"/>
    <w:rsid w:val="00BE7B23"/>
    <w:rsid w:val="00BE7FFA"/>
    <w:rsid w:val="00BF0826"/>
    <w:rsid w:val="00BF2D15"/>
    <w:rsid w:val="00BF720C"/>
    <w:rsid w:val="00C106F6"/>
    <w:rsid w:val="00C20C46"/>
    <w:rsid w:val="00C22B04"/>
    <w:rsid w:val="00C27B69"/>
    <w:rsid w:val="00C34193"/>
    <w:rsid w:val="00C36B8B"/>
    <w:rsid w:val="00C37AE6"/>
    <w:rsid w:val="00C421D8"/>
    <w:rsid w:val="00C5237B"/>
    <w:rsid w:val="00C54539"/>
    <w:rsid w:val="00C662FD"/>
    <w:rsid w:val="00C764E6"/>
    <w:rsid w:val="00C80205"/>
    <w:rsid w:val="00C8046D"/>
    <w:rsid w:val="00C824A4"/>
    <w:rsid w:val="00C8291F"/>
    <w:rsid w:val="00C82BE8"/>
    <w:rsid w:val="00C8326F"/>
    <w:rsid w:val="00C91707"/>
    <w:rsid w:val="00C91C97"/>
    <w:rsid w:val="00C97532"/>
    <w:rsid w:val="00CA18D6"/>
    <w:rsid w:val="00CA3239"/>
    <w:rsid w:val="00CB07AF"/>
    <w:rsid w:val="00CC6AAC"/>
    <w:rsid w:val="00CD4A9F"/>
    <w:rsid w:val="00CD6CEE"/>
    <w:rsid w:val="00CE11D5"/>
    <w:rsid w:val="00CE5194"/>
    <w:rsid w:val="00CE5553"/>
    <w:rsid w:val="00CE78F9"/>
    <w:rsid w:val="00CF4CDD"/>
    <w:rsid w:val="00D02F5A"/>
    <w:rsid w:val="00D033DA"/>
    <w:rsid w:val="00D05FD8"/>
    <w:rsid w:val="00D063B1"/>
    <w:rsid w:val="00D17C9D"/>
    <w:rsid w:val="00D22D84"/>
    <w:rsid w:val="00D27E37"/>
    <w:rsid w:val="00D33264"/>
    <w:rsid w:val="00D34C18"/>
    <w:rsid w:val="00D36E06"/>
    <w:rsid w:val="00D45265"/>
    <w:rsid w:val="00D45C43"/>
    <w:rsid w:val="00D5005A"/>
    <w:rsid w:val="00D6578D"/>
    <w:rsid w:val="00D81CC2"/>
    <w:rsid w:val="00D839B4"/>
    <w:rsid w:val="00D84466"/>
    <w:rsid w:val="00D87DBD"/>
    <w:rsid w:val="00D959BF"/>
    <w:rsid w:val="00D97D93"/>
    <w:rsid w:val="00DA0DEC"/>
    <w:rsid w:val="00DA3824"/>
    <w:rsid w:val="00DA481E"/>
    <w:rsid w:val="00DA4AD7"/>
    <w:rsid w:val="00DB15EF"/>
    <w:rsid w:val="00DB1D0E"/>
    <w:rsid w:val="00DC2361"/>
    <w:rsid w:val="00DC5CA3"/>
    <w:rsid w:val="00DD5EB3"/>
    <w:rsid w:val="00DE0672"/>
    <w:rsid w:val="00DE3A0A"/>
    <w:rsid w:val="00DE3C13"/>
    <w:rsid w:val="00DE3F0C"/>
    <w:rsid w:val="00DE530C"/>
    <w:rsid w:val="00DE5623"/>
    <w:rsid w:val="00DE75E7"/>
    <w:rsid w:val="00DF690C"/>
    <w:rsid w:val="00E05B8E"/>
    <w:rsid w:val="00E06AD9"/>
    <w:rsid w:val="00E154D9"/>
    <w:rsid w:val="00E21239"/>
    <w:rsid w:val="00E22079"/>
    <w:rsid w:val="00E23055"/>
    <w:rsid w:val="00E24E3A"/>
    <w:rsid w:val="00E34B88"/>
    <w:rsid w:val="00E52BBA"/>
    <w:rsid w:val="00E535BA"/>
    <w:rsid w:val="00E64D74"/>
    <w:rsid w:val="00E67144"/>
    <w:rsid w:val="00E67E12"/>
    <w:rsid w:val="00E72B22"/>
    <w:rsid w:val="00E7478B"/>
    <w:rsid w:val="00E838F4"/>
    <w:rsid w:val="00E84C6D"/>
    <w:rsid w:val="00E9114F"/>
    <w:rsid w:val="00E936B4"/>
    <w:rsid w:val="00E93F0A"/>
    <w:rsid w:val="00E951C1"/>
    <w:rsid w:val="00E95FD5"/>
    <w:rsid w:val="00E9700B"/>
    <w:rsid w:val="00EA3DEE"/>
    <w:rsid w:val="00EA6BE5"/>
    <w:rsid w:val="00EA74C3"/>
    <w:rsid w:val="00EB07DC"/>
    <w:rsid w:val="00EB576A"/>
    <w:rsid w:val="00EB6AE6"/>
    <w:rsid w:val="00EB731C"/>
    <w:rsid w:val="00EB7FD4"/>
    <w:rsid w:val="00EC7B23"/>
    <w:rsid w:val="00ED1AEF"/>
    <w:rsid w:val="00ED7588"/>
    <w:rsid w:val="00EE2923"/>
    <w:rsid w:val="00EF68A8"/>
    <w:rsid w:val="00F002C5"/>
    <w:rsid w:val="00F100D0"/>
    <w:rsid w:val="00F23B92"/>
    <w:rsid w:val="00F31CD6"/>
    <w:rsid w:val="00F33B12"/>
    <w:rsid w:val="00F360AB"/>
    <w:rsid w:val="00F40174"/>
    <w:rsid w:val="00F44BFA"/>
    <w:rsid w:val="00F45757"/>
    <w:rsid w:val="00F45A4E"/>
    <w:rsid w:val="00F46C26"/>
    <w:rsid w:val="00F61288"/>
    <w:rsid w:val="00F616C8"/>
    <w:rsid w:val="00F657A5"/>
    <w:rsid w:val="00F6720D"/>
    <w:rsid w:val="00F77E2F"/>
    <w:rsid w:val="00F840B9"/>
    <w:rsid w:val="00F86BBF"/>
    <w:rsid w:val="00F87E28"/>
    <w:rsid w:val="00F93559"/>
    <w:rsid w:val="00FA2384"/>
    <w:rsid w:val="00FA7D3E"/>
    <w:rsid w:val="00FB245F"/>
    <w:rsid w:val="00FB6473"/>
    <w:rsid w:val="00FC06A9"/>
    <w:rsid w:val="00FC3BED"/>
    <w:rsid w:val="00FD406E"/>
    <w:rsid w:val="00FE583C"/>
    <w:rsid w:val="00FF14FA"/>
    <w:rsid w:val="00FF41AD"/>
    <w:rsid w:val="00FF4AFE"/>
    <w:rsid w:val="00FF4D12"/>
    <w:rsid w:val="00FF6F0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583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091D4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91D4C"/>
    <w:rPr>
      <w:sz w:val="20"/>
      <w:szCs w:val="20"/>
    </w:rPr>
  </w:style>
  <w:style w:type="character" w:styleId="Odwoanieprzypisukocowego">
    <w:name w:val="endnote reference"/>
    <w:basedOn w:val="Domylnaczcionkaakapitu"/>
    <w:uiPriority w:val="99"/>
    <w:semiHidden/>
    <w:unhideWhenUsed/>
    <w:rsid w:val="00091D4C"/>
    <w:rPr>
      <w:vertAlign w:val="superscript"/>
    </w:rPr>
  </w:style>
  <w:style w:type="paragraph" w:styleId="Akapitzlist">
    <w:name w:val="List Paragraph"/>
    <w:basedOn w:val="Normalny"/>
    <w:uiPriority w:val="34"/>
    <w:qFormat/>
    <w:rsid w:val="00CF4CDD"/>
    <w:pPr>
      <w:ind w:left="720"/>
      <w:contextualSpacing/>
    </w:pPr>
  </w:style>
  <w:style w:type="paragraph" w:styleId="Nagwek">
    <w:name w:val="header"/>
    <w:basedOn w:val="Normalny"/>
    <w:link w:val="NagwekZnak"/>
    <w:uiPriority w:val="99"/>
    <w:semiHidden/>
    <w:unhideWhenUsed/>
    <w:rsid w:val="006C56B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C56BC"/>
  </w:style>
  <w:style w:type="paragraph" w:styleId="Stopka">
    <w:name w:val="footer"/>
    <w:basedOn w:val="Normalny"/>
    <w:link w:val="StopkaZnak"/>
    <w:uiPriority w:val="99"/>
    <w:unhideWhenUsed/>
    <w:rsid w:val="006C56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56BC"/>
  </w:style>
  <w:style w:type="character" w:customStyle="1" w:styleId="articletitle">
    <w:name w:val="articletitle"/>
    <w:basedOn w:val="Domylnaczcionkaakapitu"/>
    <w:rsid w:val="00205694"/>
  </w:style>
  <w:style w:type="character" w:customStyle="1" w:styleId="footnote">
    <w:name w:val="footnote"/>
    <w:basedOn w:val="Domylnaczcionkaakapitu"/>
    <w:rsid w:val="00205694"/>
  </w:style>
  <w:style w:type="paragraph" w:styleId="Tekstdymka">
    <w:name w:val="Balloon Text"/>
    <w:basedOn w:val="Normalny"/>
    <w:link w:val="TekstdymkaZnak"/>
    <w:uiPriority w:val="99"/>
    <w:semiHidden/>
    <w:unhideWhenUsed/>
    <w:rsid w:val="002056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5694"/>
    <w:rPr>
      <w:rFonts w:ascii="Tahoma" w:hAnsi="Tahoma" w:cs="Tahoma"/>
      <w:sz w:val="16"/>
      <w:szCs w:val="16"/>
    </w:rPr>
  </w:style>
  <w:style w:type="paragraph" w:customStyle="1" w:styleId="divpkt">
    <w:name w:val="div.pkt"/>
    <w:uiPriority w:val="99"/>
    <w:rsid w:val="00A25F0C"/>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 w:type="paragraph" w:customStyle="1" w:styleId="divparagraph">
    <w:name w:val="div.paragraph"/>
    <w:uiPriority w:val="99"/>
    <w:rsid w:val="00A25F0C"/>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oint">
    <w:name w:val="div.point"/>
    <w:uiPriority w:val="99"/>
    <w:rsid w:val="00A25F0C"/>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s>
</file>

<file path=word/webSettings.xml><?xml version="1.0" encoding="utf-8"?>
<w:webSettings xmlns:r="http://schemas.openxmlformats.org/officeDocument/2006/relationships" xmlns:w="http://schemas.openxmlformats.org/wordprocessingml/2006/main">
  <w:divs>
    <w:div w:id="1214926370">
      <w:bodyDiv w:val="1"/>
      <w:marLeft w:val="0"/>
      <w:marRight w:val="0"/>
      <w:marTop w:val="0"/>
      <w:marBottom w:val="0"/>
      <w:divBdr>
        <w:top w:val="none" w:sz="0" w:space="0" w:color="auto"/>
        <w:left w:val="none" w:sz="0" w:space="0" w:color="auto"/>
        <w:bottom w:val="none" w:sz="0" w:space="0" w:color="auto"/>
        <w:right w:val="none" w:sz="0" w:space="0" w:color="auto"/>
      </w:divBdr>
      <w:divsChild>
        <w:div w:id="1812558154">
          <w:marLeft w:val="0"/>
          <w:marRight w:val="0"/>
          <w:marTop w:val="0"/>
          <w:marBottom w:val="0"/>
          <w:divBdr>
            <w:top w:val="none" w:sz="0" w:space="0" w:color="auto"/>
            <w:left w:val="none" w:sz="0" w:space="0" w:color="auto"/>
            <w:bottom w:val="none" w:sz="0" w:space="0" w:color="auto"/>
            <w:right w:val="none" w:sz="0" w:space="0" w:color="auto"/>
          </w:divBdr>
          <w:divsChild>
            <w:div w:id="1986733518">
              <w:marLeft w:val="0"/>
              <w:marRight w:val="0"/>
              <w:marTop w:val="0"/>
              <w:marBottom w:val="0"/>
              <w:divBdr>
                <w:top w:val="none" w:sz="0" w:space="0" w:color="auto"/>
                <w:left w:val="none" w:sz="0" w:space="0" w:color="auto"/>
                <w:bottom w:val="none" w:sz="0" w:space="0" w:color="auto"/>
                <w:right w:val="none" w:sz="0" w:space="0" w:color="auto"/>
              </w:divBdr>
              <w:divsChild>
                <w:div w:id="201528221">
                  <w:marLeft w:val="0"/>
                  <w:marRight w:val="0"/>
                  <w:marTop w:val="0"/>
                  <w:marBottom w:val="0"/>
                  <w:divBdr>
                    <w:top w:val="none" w:sz="0" w:space="0" w:color="auto"/>
                    <w:left w:val="none" w:sz="0" w:space="0" w:color="auto"/>
                    <w:bottom w:val="none" w:sz="0" w:space="0" w:color="auto"/>
                    <w:right w:val="none" w:sz="0" w:space="0" w:color="auto"/>
                  </w:divBdr>
                  <w:divsChild>
                    <w:div w:id="1674648041">
                      <w:marLeft w:val="0"/>
                      <w:marRight w:val="0"/>
                      <w:marTop w:val="0"/>
                      <w:marBottom w:val="0"/>
                      <w:divBdr>
                        <w:top w:val="none" w:sz="0" w:space="0" w:color="auto"/>
                        <w:left w:val="none" w:sz="0" w:space="0" w:color="auto"/>
                        <w:bottom w:val="none" w:sz="0" w:space="0" w:color="auto"/>
                        <w:right w:val="none" w:sz="0" w:space="0" w:color="auto"/>
                      </w:divBdr>
                      <w:divsChild>
                        <w:div w:id="977879140">
                          <w:marLeft w:val="0"/>
                          <w:marRight w:val="0"/>
                          <w:marTop w:val="0"/>
                          <w:marBottom w:val="0"/>
                          <w:divBdr>
                            <w:top w:val="none" w:sz="0" w:space="0" w:color="auto"/>
                            <w:left w:val="none" w:sz="0" w:space="0" w:color="auto"/>
                            <w:bottom w:val="none" w:sz="0" w:space="0" w:color="auto"/>
                            <w:right w:val="none" w:sz="0" w:space="0" w:color="auto"/>
                          </w:divBdr>
                          <w:divsChild>
                            <w:div w:id="1847210913">
                              <w:marLeft w:val="0"/>
                              <w:marRight w:val="0"/>
                              <w:marTop w:val="0"/>
                              <w:marBottom w:val="0"/>
                              <w:divBdr>
                                <w:top w:val="none" w:sz="0" w:space="0" w:color="auto"/>
                                <w:left w:val="none" w:sz="0" w:space="0" w:color="auto"/>
                                <w:bottom w:val="none" w:sz="0" w:space="0" w:color="auto"/>
                                <w:right w:val="none" w:sz="0" w:space="0" w:color="auto"/>
                              </w:divBdr>
                              <w:divsChild>
                                <w:div w:id="298345545">
                                  <w:marLeft w:val="0"/>
                                  <w:marRight w:val="0"/>
                                  <w:marTop w:val="0"/>
                                  <w:marBottom w:val="0"/>
                                  <w:divBdr>
                                    <w:top w:val="none" w:sz="0" w:space="0" w:color="auto"/>
                                    <w:left w:val="none" w:sz="0" w:space="0" w:color="auto"/>
                                    <w:bottom w:val="none" w:sz="0" w:space="0" w:color="auto"/>
                                    <w:right w:val="none" w:sz="0" w:space="0" w:color="auto"/>
                                  </w:divBdr>
                                  <w:divsChild>
                                    <w:div w:id="212426325">
                                      <w:marLeft w:val="0"/>
                                      <w:marRight w:val="0"/>
                                      <w:marTop w:val="0"/>
                                      <w:marBottom w:val="0"/>
                                      <w:divBdr>
                                        <w:top w:val="none" w:sz="0" w:space="0" w:color="auto"/>
                                        <w:left w:val="none" w:sz="0" w:space="0" w:color="auto"/>
                                        <w:bottom w:val="none" w:sz="0" w:space="0" w:color="auto"/>
                                        <w:right w:val="none" w:sz="0" w:space="0" w:color="auto"/>
                                      </w:divBdr>
                                      <w:divsChild>
                                        <w:div w:id="557596256">
                                          <w:marLeft w:val="0"/>
                                          <w:marRight w:val="0"/>
                                          <w:marTop w:val="0"/>
                                          <w:marBottom w:val="0"/>
                                          <w:divBdr>
                                            <w:top w:val="none" w:sz="0" w:space="0" w:color="auto"/>
                                            <w:left w:val="none" w:sz="0" w:space="0" w:color="auto"/>
                                            <w:bottom w:val="none" w:sz="0" w:space="0" w:color="auto"/>
                                            <w:right w:val="none" w:sz="0" w:space="0" w:color="auto"/>
                                          </w:divBdr>
                                          <w:divsChild>
                                            <w:div w:id="41906475">
                                              <w:marLeft w:val="0"/>
                                              <w:marRight w:val="0"/>
                                              <w:marTop w:val="0"/>
                                              <w:marBottom w:val="0"/>
                                              <w:divBdr>
                                                <w:top w:val="none" w:sz="0" w:space="0" w:color="auto"/>
                                                <w:left w:val="none" w:sz="0" w:space="0" w:color="auto"/>
                                                <w:bottom w:val="none" w:sz="0" w:space="0" w:color="auto"/>
                                                <w:right w:val="none" w:sz="0" w:space="0" w:color="auto"/>
                                              </w:divBdr>
                                              <w:divsChild>
                                                <w:div w:id="1816218625">
                                                  <w:marLeft w:val="0"/>
                                                  <w:marRight w:val="0"/>
                                                  <w:marTop w:val="0"/>
                                                  <w:marBottom w:val="0"/>
                                                  <w:divBdr>
                                                    <w:top w:val="none" w:sz="0" w:space="0" w:color="auto"/>
                                                    <w:left w:val="none" w:sz="0" w:space="0" w:color="auto"/>
                                                    <w:bottom w:val="none" w:sz="0" w:space="0" w:color="auto"/>
                                                    <w:right w:val="none" w:sz="0" w:space="0" w:color="auto"/>
                                                  </w:divBdr>
                                                </w:div>
                                                <w:div w:id="1793592100">
                                                  <w:marLeft w:val="0"/>
                                                  <w:marRight w:val="0"/>
                                                  <w:marTop w:val="0"/>
                                                  <w:marBottom w:val="0"/>
                                                  <w:divBdr>
                                                    <w:top w:val="none" w:sz="0" w:space="0" w:color="auto"/>
                                                    <w:left w:val="none" w:sz="0" w:space="0" w:color="auto"/>
                                                    <w:bottom w:val="none" w:sz="0" w:space="0" w:color="auto"/>
                                                    <w:right w:val="none" w:sz="0" w:space="0" w:color="auto"/>
                                                  </w:divBdr>
                                                  <w:divsChild>
                                                    <w:div w:id="1653366321">
                                                      <w:marLeft w:val="0"/>
                                                      <w:marRight w:val="0"/>
                                                      <w:marTop w:val="0"/>
                                                      <w:marBottom w:val="0"/>
                                                      <w:divBdr>
                                                        <w:top w:val="none" w:sz="0" w:space="0" w:color="auto"/>
                                                        <w:left w:val="none" w:sz="0" w:space="0" w:color="auto"/>
                                                        <w:bottom w:val="none" w:sz="0" w:space="0" w:color="auto"/>
                                                        <w:right w:val="none" w:sz="0" w:space="0" w:color="auto"/>
                                                      </w:divBdr>
                                                    </w:div>
                                                    <w:div w:id="463742144">
                                                      <w:marLeft w:val="0"/>
                                                      <w:marRight w:val="0"/>
                                                      <w:marTop w:val="0"/>
                                                      <w:marBottom w:val="0"/>
                                                      <w:divBdr>
                                                        <w:top w:val="none" w:sz="0" w:space="0" w:color="auto"/>
                                                        <w:left w:val="none" w:sz="0" w:space="0" w:color="auto"/>
                                                        <w:bottom w:val="none" w:sz="0" w:space="0" w:color="auto"/>
                                                        <w:right w:val="none" w:sz="0" w:space="0" w:color="auto"/>
                                                      </w:divBdr>
                                                    </w:div>
                                                  </w:divsChild>
                                                </w:div>
                                                <w:div w:id="916011796">
                                                  <w:marLeft w:val="0"/>
                                                  <w:marRight w:val="0"/>
                                                  <w:marTop w:val="0"/>
                                                  <w:marBottom w:val="0"/>
                                                  <w:divBdr>
                                                    <w:top w:val="none" w:sz="0" w:space="0" w:color="auto"/>
                                                    <w:left w:val="none" w:sz="0" w:space="0" w:color="auto"/>
                                                    <w:bottom w:val="none" w:sz="0" w:space="0" w:color="auto"/>
                                                    <w:right w:val="none" w:sz="0" w:space="0" w:color="auto"/>
                                                  </w:divBdr>
                                                  <w:divsChild>
                                                    <w:div w:id="1925605691">
                                                      <w:marLeft w:val="0"/>
                                                      <w:marRight w:val="0"/>
                                                      <w:marTop w:val="0"/>
                                                      <w:marBottom w:val="0"/>
                                                      <w:divBdr>
                                                        <w:top w:val="none" w:sz="0" w:space="0" w:color="auto"/>
                                                        <w:left w:val="none" w:sz="0" w:space="0" w:color="auto"/>
                                                        <w:bottom w:val="none" w:sz="0" w:space="0" w:color="auto"/>
                                                        <w:right w:val="none" w:sz="0" w:space="0" w:color="auto"/>
                                                      </w:divBdr>
                                                    </w:div>
                                                    <w:div w:id="333071126">
                                                      <w:marLeft w:val="0"/>
                                                      <w:marRight w:val="0"/>
                                                      <w:marTop w:val="0"/>
                                                      <w:marBottom w:val="0"/>
                                                      <w:divBdr>
                                                        <w:top w:val="none" w:sz="0" w:space="0" w:color="auto"/>
                                                        <w:left w:val="none" w:sz="0" w:space="0" w:color="auto"/>
                                                        <w:bottom w:val="none" w:sz="0" w:space="0" w:color="auto"/>
                                                        <w:right w:val="none" w:sz="0" w:space="0" w:color="auto"/>
                                                      </w:divBdr>
                                                    </w:div>
                                                  </w:divsChild>
                                                </w:div>
                                                <w:div w:id="683244986">
                                                  <w:marLeft w:val="0"/>
                                                  <w:marRight w:val="0"/>
                                                  <w:marTop w:val="0"/>
                                                  <w:marBottom w:val="0"/>
                                                  <w:divBdr>
                                                    <w:top w:val="none" w:sz="0" w:space="0" w:color="auto"/>
                                                    <w:left w:val="none" w:sz="0" w:space="0" w:color="auto"/>
                                                    <w:bottom w:val="none" w:sz="0" w:space="0" w:color="auto"/>
                                                    <w:right w:val="none" w:sz="0" w:space="0" w:color="auto"/>
                                                  </w:divBdr>
                                                  <w:divsChild>
                                                    <w:div w:id="278610960">
                                                      <w:marLeft w:val="0"/>
                                                      <w:marRight w:val="0"/>
                                                      <w:marTop w:val="0"/>
                                                      <w:marBottom w:val="0"/>
                                                      <w:divBdr>
                                                        <w:top w:val="none" w:sz="0" w:space="0" w:color="auto"/>
                                                        <w:left w:val="none" w:sz="0" w:space="0" w:color="auto"/>
                                                        <w:bottom w:val="none" w:sz="0" w:space="0" w:color="auto"/>
                                                        <w:right w:val="none" w:sz="0" w:space="0" w:color="auto"/>
                                                      </w:divBdr>
                                                    </w:div>
                                                    <w:div w:id="90245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48A74C-8A73-4EA7-B96D-C15D725F4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1735</Words>
  <Characters>10415</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Telewizja Polska S.A.</Company>
  <LinksUpToDate>false</LinksUpToDate>
  <CharactersWithSpaces>12126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Maliszewska-Kowalczyk, Sonia</dc:creator>
  <cp:lastModifiedBy> </cp:lastModifiedBy>
  <cp:revision>2</cp:revision>
  <cp:lastPrinted>2017-03-18T20:24:00Z</cp:lastPrinted>
  <dcterms:created xsi:type="dcterms:W3CDTF">2017-09-20T07:48:00Z</dcterms:created>
  <dcterms:modified xsi:type="dcterms:W3CDTF">2017-09-20T07:48:00Z</dcterms:modified>
</cp:coreProperties>
</file>